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234440" cy="1234440"/>
            <wp:docPr id="1" name="Picture 1"/>
            <wp:cNvGraphicFramePr>
              <a:graphicFrameLocks noChangeAspect="1"/>
            </wp:cNvGraphicFramePr>
            <a:graphic>
              <a:graphicData uri="http://schemas.openxmlformats.org/drawingml/2006/picture">
                <pic:pic>
                  <pic:nvPicPr>
                    <pic:cNvPr id="0" name="TechLabsMind_official_logo.png"/>
                    <pic:cNvPicPr/>
                  </pic:nvPicPr>
                  <pic:blipFill>
                    <a:blip r:embed="rId11"/>
                    <a:stretch>
                      <a:fillRect/>
                    </a:stretch>
                  </pic:blipFill>
                  <pic:spPr>
                    <a:xfrm>
                      <a:off x="0" y="0"/>
                      <a:ext cx="1234440" cy="1234440"/>
                    </a:xfrm>
                    <a:prstGeom prst="rect"/>
                  </pic:spPr>
                </pic:pic>
              </a:graphicData>
            </a:graphic>
          </wp:inline>
        </w:drawing>
      </w:r>
    </w:p>
    <w:p>
      <w:pPr>
        <w:spacing w:before="60"/>
        <w:jc w:val="center"/>
      </w:pPr>
      <w:r>
        <w:rPr>
          <w:b/>
          <w:color w:val="10283D"/>
          <w:sz w:val="48"/>
        </w:rPr>
        <w:t>THE COMPLETE AI LEARNING JOURNEY</w:t>
      </w:r>
    </w:p>
    <w:p>
      <w:pPr>
        <w:jc w:val="center"/>
      </w:pPr>
      <w:r>
        <w:rPr>
          <w:b/>
          <w:color w:val="00AFA8"/>
          <w:sz w:val="30"/>
        </w:rPr>
        <w:t>Applied Generative AI Specialization</w:t>
      </w:r>
    </w:p>
    <w:p>
      <w:pPr>
        <w:jc w:val="center"/>
      </w:pPr>
      <w:r>
        <w:rPr>
          <w:color w:val="627583"/>
          <w:sz w:val="20"/>
        </w:rPr>
        <w:t>From AI Fundamentals to LLM Applications, RAG, Agentic AI, Multimodal Generation and Responsible AI</w:t>
      </w:r>
    </w:p>
    <w:tbl>
      <w:tblPr>
        <w:tblW w:type="auto" w:w="0"/>
        <w:jc w:val="center"/>
        <w:tblLayout w:type="fixed"/>
        <w:tblLook w:firstColumn="1" w:firstRow="1" w:lastColumn="0" w:lastRow="0" w:noHBand="0" w:noVBand="1" w:val="04A0"/>
      </w:tblPr>
      <w:tblGrid>
        <w:gridCol w:w="3427"/>
        <w:gridCol w:w="3427"/>
        <w:gridCol w:w="3427"/>
      </w:tblGrid>
      <w:tr>
        <w:tc>
          <w:tcPr>
            <w:tcW w:type="dxa" w:w="3096"/>
            <w:vAlign w:val="center"/>
            <w:shd w:fill="10283D"/>
          </w:tcPr>
          <w:p>
            <w:pPr>
              <w:spacing w:after="20" w:before="20"/>
            </w:pPr>
            <w:r/>
            <w:r>
              <w:rPr>
                <w:rFonts w:ascii="Aptos" w:hAnsi="Aptos"/>
                <w:b/>
                <w:color w:val="FFFFFF"/>
                <w:sz w:val="16"/>
              </w:rPr>
              <w:t>FUNDAMENTALS</w:t>
            </w:r>
          </w:p>
        </w:tc>
        <w:tc>
          <w:tcPr>
            <w:tcW w:type="dxa" w:w="3096"/>
            <w:vAlign w:val="center"/>
            <w:shd w:fill="10283D"/>
          </w:tcPr>
          <w:p>
            <w:pPr>
              <w:spacing w:after="20" w:before="20"/>
            </w:pPr>
            <w:r/>
            <w:r>
              <w:rPr>
                <w:rFonts w:ascii="Aptos" w:hAnsi="Aptos"/>
                <w:b/>
                <w:color w:val="FFFFFF"/>
                <w:sz w:val="16"/>
              </w:rPr>
              <w:t>INTERMEDIATE</w:t>
            </w:r>
          </w:p>
        </w:tc>
        <w:tc>
          <w:tcPr>
            <w:tcW w:type="dxa" w:w="3096"/>
            <w:vAlign w:val="center"/>
            <w:shd w:fill="10283D"/>
          </w:tcPr>
          <w:p>
            <w:pPr>
              <w:spacing w:after="20" w:before="20"/>
            </w:pPr>
            <w:r/>
            <w:r>
              <w:rPr>
                <w:rFonts w:ascii="Aptos" w:hAnsi="Aptos"/>
                <w:b/>
                <w:color w:val="FFFFFF"/>
                <w:sz w:val="16"/>
              </w:rPr>
              <w:t>ADVANCED</w:t>
            </w:r>
          </w:p>
        </w:tc>
      </w:tr>
      <w:tr>
        <w:tc>
          <w:tcPr>
            <w:tcW w:type="dxa" w:w="3096"/>
            <w:vAlign w:val="center"/>
            <w:shd w:fill="EAF4F6"/>
          </w:tcPr>
          <w:p>
            <w:pPr>
              <w:spacing w:after="20" w:before="20"/>
            </w:pPr>
            <w:r/>
            <w:r>
              <w:rPr>
                <w:rFonts w:ascii="Aptos" w:hAnsi="Aptos"/>
                <w:b/>
                <w:color w:val="10283D"/>
                <w:sz w:val="17"/>
              </w:rPr>
              <w:t>12 classes</w:t>
            </w:r>
          </w:p>
        </w:tc>
        <w:tc>
          <w:tcPr>
            <w:tcW w:type="dxa" w:w="3096"/>
            <w:vAlign w:val="center"/>
            <w:shd w:fill="EAF4F6"/>
          </w:tcPr>
          <w:p>
            <w:pPr>
              <w:spacing w:after="20" w:before="20"/>
            </w:pPr>
            <w:r/>
            <w:r>
              <w:rPr>
                <w:rFonts w:ascii="Aptos" w:hAnsi="Aptos"/>
                <w:b w:val="0"/>
                <w:color w:val="243746"/>
                <w:sz w:val="17"/>
              </w:rPr>
              <w:t>20 classes</w:t>
            </w:r>
          </w:p>
        </w:tc>
        <w:tc>
          <w:tcPr>
            <w:tcW w:type="dxa" w:w="3096"/>
            <w:vAlign w:val="center"/>
            <w:shd w:fill="EAF4F6"/>
          </w:tcPr>
          <w:p>
            <w:pPr>
              <w:spacing w:after="20" w:before="20"/>
            </w:pPr>
            <w:r/>
            <w:r>
              <w:rPr>
                <w:rFonts w:ascii="Aptos" w:hAnsi="Aptos"/>
                <w:b w:val="0"/>
                <w:color w:val="243746"/>
                <w:sz w:val="17"/>
              </w:rPr>
              <w:t>16 classes</w:t>
            </w:r>
          </w:p>
        </w:tc>
      </w:tr>
      <w:tr>
        <w:tc>
          <w:tcPr>
            <w:tcW w:type="dxa" w:w="3096"/>
            <w:vAlign w:val="center"/>
            <w:shd w:fill="F6F9FA"/>
          </w:tcPr>
          <w:p>
            <w:pPr>
              <w:spacing w:after="20" w:before="20"/>
            </w:pPr>
            <w:r/>
            <w:r>
              <w:rPr>
                <w:rFonts w:ascii="Aptos" w:hAnsi="Aptos"/>
                <w:b/>
                <w:color w:val="10283D"/>
                <w:sz w:val="17"/>
              </w:rPr>
              <w:t>AI literacy and foundations</w:t>
            </w:r>
          </w:p>
        </w:tc>
        <w:tc>
          <w:tcPr>
            <w:tcW w:type="dxa" w:w="3096"/>
            <w:vAlign w:val="center"/>
            <w:shd w:fill="F6F9FA"/>
          </w:tcPr>
          <w:p>
            <w:pPr>
              <w:spacing w:after="20" w:before="20"/>
            </w:pPr>
            <w:r/>
            <w:r>
              <w:rPr>
                <w:rFonts w:ascii="Aptos" w:hAnsi="Aptos"/>
                <w:b w:val="0"/>
                <w:color w:val="243746"/>
                <w:sz w:val="17"/>
              </w:rPr>
              <w:t>Build LLM-powered applications</w:t>
            </w:r>
          </w:p>
        </w:tc>
        <w:tc>
          <w:tcPr>
            <w:tcW w:type="dxa" w:w="3096"/>
            <w:vAlign w:val="center"/>
            <w:shd w:fill="F6F9FA"/>
          </w:tcPr>
          <w:p>
            <w:pPr>
              <w:spacing w:after="20" w:before="20"/>
            </w:pPr>
            <w:r/>
            <w:r>
              <w:rPr>
                <w:rFonts w:ascii="Aptos" w:hAnsi="Aptos"/>
                <w:b w:val="0"/>
                <w:color w:val="243746"/>
                <w:sz w:val="17"/>
              </w:rPr>
              <w:t>Agentic, multimodal and governed AI</w:t>
            </w:r>
          </w:p>
        </w:tc>
      </w:tr>
    </w:tbl>
    <w:p>
      <w:pPr>
        <w:spacing w:after="20"/>
      </w:pPr>
    </w:p>
    <w:p>
      <w:pPr>
        <w:jc w:val="center"/>
      </w:pPr>
      <w:r>
        <w:rPr>
          <w:b/>
          <w:color w:val="10283D"/>
          <w:sz w:val="20"/>
        </w:rPr>
        <w:t>48 CLASSES  |  2 HOURS PER CLASS  |  WEEKENDS  |  APPROX. 3–4 MONTHS</w:t>
      </w:r>
    </w:p>
    <w:p>
      <w:pPr>
        <w:jc w:val="center"/>
      </w:pPr>
      <w:r>
        <w:t>A progressive, practical roadmap for beginners, working professionals, developers and aspiring AI practitioners.</w:t>
      </w:r>
    </w:p>
    <w:p>
      <w:r>
        <w:br w:type="page"/>
      </w:r>
    </w:p>
    <w:p>
      <w:pPr>
        <w:pStyle w:val="Heading1"/>
      </w:pPr>
      <w:r>
        <w:t>1. Program vision and destination</w:t>
      </w:r>
    </w:p>
    <w:p>
      <w:r>
        <w:t>The TechLabsMind Applied Generative AI journey is designed to move learners from AI awareness to practical capability. Learners first understand AI concepts and become confident users of leading AI assistants. They then learn prompt engineering, model architecture, APIs, embeddings, retrieval-augmented generation, fine-tuning and LLM application development. The advanced stage introduces agentic frameworks, multimodal generation, deployment and AI governance.</w:t>
      </w:r>
    </w:p>
    <w:tbl>
      <w:tblPr>
        <w:tblW w:type="auto" w:w="0"/>
        <w:tblLook w:firstColumn="1" w:firstRow="1" w:lastColumn="0" w:lastRow="0" w:noHBand="0" w:noVBand="1" w:val="04A0"/>
      </w:tblPr>
      <w:tblGrid>
        <w:gridCol w:w="10282"/>
      </w:tblGrid>
      <w:tr>
        <w:tc>
          <w:tcPr>
            <w:tcW w:type="dxa" w:w="10282"/>
            <w:shd w:fill="1B405A"/>
          </w:tcPr>
          <w:p>
            <w:pPr>
              <w:spacing w:after="60"/>
            </w:pPr>
            <w:r/>
            <w:r>
              <w:rPr>
                <w:b/>
                <w:color w:val="F4AE42"/>
                <w:sz w:val="20"/>
              </w:rPr>
              <w:t>THE LEARNING PROGRESSION</w:t>
              <w:br/>
            </w:r>
            <w:r>
              <w:rPr>
                <w:color w:val="FFFFFF"/>
                <w:sz w:val="17"/>
              </w:rPr>
              <w:t>UNDERSTAND AI  →  USE AI TOOLS  →  DESIGN PROMPTS  →  BUILD LLM APPS  →  CONNECT KNOWLEDGE  →  ORCHESTRATE AGENTS  →  DEPLOY RESPONSIBLY</w:t>
            </w:r>
          </w:p>
        </w:tc>
      </w:tr>
    </w:tbl>
    <w:p>
      <w:pPr>
        <w:spacing w:after="20"/>
      </w:pPr>
    </w:p>
    <w:p>
      <w:pPr>
        <w:pStyle w:val="Heading2"/>
      </w:pPr>
      <w:r>
        <w:t>Who this program is for</w:t>
      </w:r>
    </w:p>
    <w:p>
      <w:pPr>
        <w:pStyle w:val="ListBullet"/>
        <w:spacing w:after="20"/>
      </w:pPr>
      <w:r>
        <w:t>Beginners and non-technical professionals who want a clear, practical understanding of AI.</w:t>
      </w:r>
    </w:p>
    <w:p>
      <w:pPr>
        <w:pStyle w:val="ListBullet"/>
        <w:spacing w:after="20"/>
      </w:pPr>
      <w:r>
        <w:t>Operations, support, business and management professionals seeking workplace productivity and process improvement.</w:t>
      </w:r>
    </w:p>
    <w:p>
      <w:pPr>
        <w:pStyle w:val="ListBullet"/>
        <w:spacing w:after="20"/>
      </w:pPr>
      <w:r>
        <w:t>Developers and technical professionals who want to build Generative AI applications.</w:t>
      </w:r>
    </w:p>
    <w:p>
      <w:pPr>
        <w:pStyle w:val="ListBullet"/>
        <w:spacing w:after="20"/>
      </w:pPr>
      <w:r>
        <w:t>Aspiring AI practitioners who want a structured progression from fundamentals to advanced applied AI.</w:t>
      </w:r>
    </w:p>
    <w:p>
      <w:pPr>
        <w:pStyle w:val="Heading2"/>
      </w:pPr>
      <w:r>
        <w:t>Program format</w:t>
      </w:r>
    </w:p>
    <w:tbl>
      <w:tblPr>
        <w:tblW w:type="auto" w:w="0"/>
        <w:jc w:val="center"/>
        <w:tblLayout w:type="fixed"/>
        <w:tblLook w:firstColumn="1" w:firstRow="1" w:lastColumn="0" w:lastRow="0" w:noHBand="0" w:noVBand="1" w:val="04A0"/>
      </w:tblPr>
      <w:tblGrid>
        <w:gridCol w:w="5141"/>
        <w:gridCol w:w="5141"/>
      </w:tblGrid>
      <w:tr>
        <w:tc>
          <w:tcPr>
            <w:tcW w:type="dxa" w:w="2304"/>
            <w:vAlign w:val="center"/>
            <w:shd w:fill="10283D"/>
          </w:tcPr>
          <w:p>
            <w:pPr>
              <w:spacing w:after="20" w:before="20"/>
            </w:pPr>
            <w:r/>
            <w:r>
              <w:rPr>
                <w:rFonts w:ascii="Aptos" w:hAnsi="Aptos"/>
                <w:b/>
                <w:color w:val="FFFFFF"/>
                <w:sz w:val="16"/>
              </w:rPr>
              <w:t>Item</w:t>
            </w:r>
          </w:p>
        </w:tc>
        <w:tc>
          <w:tcPr>
            <w:tcW w:type="dxa" w:w="6912"/>
            <w:vAlign w:val="center"/>
            <w:shd w:fill="10283D"/>
          </w:tcPr>
          <w:p>
            <w:pPr>
              <w:spacing w:after="20" w:before="20"/>
            </w:pPr>
            <w:r/>
            <w:r>
              <w:rPr>
                <w:rFonts w:ascii="Aptos" w:hAnsi="Aptos"/>
                <w:b/>
                <w:color w:val="FFFFFF"/>
                <w:sz w:val="16"/>
              </w:rPr>
              <w:t>Program structure</w:t>
            </w:r>
          </w:p>
        </w:tc>
      </w:tr>
      <w:tr>
        <w:tc>
          <w:tcPr>
            <w:tcW w:type="dxa" w:w="2304"/>
            <w:vAlign w:val="center"/>
            <w:shd w:fill="EAF4F6"/>
          </w:tcPr>
          <w:p>
            <w:pPr>
              <w:spacing w:after="20" w:before="20"/>
            </w:pPr>
            <w:r/>
            <w:r>
              <w:rPr>
                <w:rFonts w:ascii="Aptos" w:hAnsi="Aptos"/>
                <w:b/>
                <w:color w:val="10283D"/>
                <w:sz w:val="17"/>
              </w:rPr>
              <w:t>Specialization</w:t>
            </w:r>
          </w:p>
        </w:tc>
        <w:tc>
          <w:tcPr>
            <w:tcW w:type="dxa" w:w="6912"/>
            <w:vAlign w:val="center"/>
            <w:shd w:fill="EAF4F6"/>
          </w:tcPr>
          <w:p>
            <w:pPr>
              <w:spacing w:after="20" w:before="20"/>
            </w:pPr>
            <w:r/>
            <w:r>
              <w:rPr>
                <w:rFonts w:ascii="Aptos" w:hAnsi="Aptos"/>
                <w:b w:val="0"/>
                <w:color w:val="243746"/>
                <w:sz w:val="17"/>
              </w:rPr>
              <w:t>Applied Generative AI Specialization</w:t>
            </w:r>
          </w:p>
        </w:tc>
      </w:tr>
      <w:tr>
        <w:tc>
          <w:tcPr>
            <w:tcW w:type="dxa" w:w="2304"/>
            <w:vAlign w:val="center"/>
            <w:shd w:fill="F6F9FA"/>
          </w:tcPr>
          <w:p>
            <w:pPr>
              <w:spacing w:after="20" w:before="20"/>
            </w:pPr>
            <w:r/>
            <w:r>
              <w:rPr>
                <w:rFonts w:ascii="Aptos" w:hAnsi="Aptos"/>
                <w:b/>
                <w:color w:val="10283D"/>
                <w:sz w:val="17"/>
              </w:rPr>
              <w:t>Fundamentals</w:t>
            </w:r>
          </w:p>
        </w:tc>
        <w:tc>
          <w:tcPr>
            <w:tcW w:type="dxa" w:w="6912"/>
            <w:vAlign w:val="center"/>
            <w:shd w:fill="F6F9FA"/>
          </w:tcPr>
          <w:p>
            <w:pPr>
              <w:spacing w:after="20" w:before="20"/>
            </w:pPr>
            <w:r/>
            <w:r>
              <w:rPr>
                <w:rFonts w:ascii="Aptos" w:hAnsi="Aptos"/>
                <w:b w:val="0"/>
                <w:color w:val="243746"/>
                <w:sz w:val="17"/>
              </w:rPr>
              <w:t>12 classes</w:t>
            </w:r>
          </w:p>
        </w:tc>
      </w:tr>
      <w:tr>
        <w:tc>
          <w:tcPr>
            <w:tcW w:type="dxa" w:w="2304"/>
            <w:vAlign w:val="center"/>
            <w:shd w:fill="EAF4F6"/>
          </w:tcPr>
          <w:p>
            <w:pPr>
              <w:spacing w:after="20" w:before="20"/>
            </w:pPr>
            <w:r/>
            <w:r>
              <w:rPr>
                <w:rFonts w:ascii="Aptos" w:hAnsi="Aptos"/>
                <w:b/>
                <w:color w:val="10283D"/>
                <w:sz w:val="17"/>
              </w:rPr>
              <w:t>Intermediate</w:t>
            </w:r>
          </w:p>
        </w:tc>
        <w:tc>
          <w:tcPr>
            <w:tcW w:type="dxa" w:w="6912"/>
            <w:vAlign w:val="center"/>
            <w:shd w:fill="EAF4F6"/>
          </w:tcPr>
          <w:p>
            <w:pPr>
              <w:spacing w:after="20" w:before="20"/>
            </w:pPr>
            <w:r/>
            <w:r>
              <w:rPr>
                <w:rFonts w:ascii="Aptos" w:hAnsi="Aptos"/>
                <w:b w:val="0"/>
                <w:color w:val="243746"/>
                <w:sz w:val="17"/>
              </w:rPr>
              <w:t>20 classes</w:t>
            </w:r>
          </w:p>
        </w:tc>
      </w:tr>
      <w:tr>
        <w:tc>
          <w:tcPr>
            <w:tcW w:type="dxa" w:w="2304"/>
            <w:vAlign w:val="center"/>
            <w:shd w:fill="F6F9FA"/>
          </w:tcPr>
          <w:p>
            <w:pPr>
              <w:spacing w:after="20" w:before="20"/>
            </w:pPr>
            <w:r/>
            <w:r>
              <w:rPr>
                <w:rFonts w:ascii="Aptos" w:hAnsi="Aptos"/>
                <w:b/>
                <w:color w:val="10283D"/>
                <w:sz w:val="17"/>
              </w:rPr>
              <w:t>Advanced</w:t>
            </w:r>
          </w:p>
        </w:tc>
        <w:tc>
          <w:tcPr>
            <w:tcW w:type="dxa" w:w="6912"/>
            <w:vAlign w:val="center"/>
            <w:shd w:fill="F6F9FA"/>
          </w:tcPr>
          <w:p>
            <w:pPr>
              <w:spacing w:after="20" w:before="20"/>
            </w:pPr>
            <w:r/>
            <w:r>
              <w:rPr>
                <w:rFonts w:ascii="Aptos" w:hAnsi="Aptos"/>
                <w:b w:val="0"/>
                <w:color w:val="243746"/>
                <w:sz w:val="17"/>
              </w:rPr>
              <w:t>16 classes</w:t>
            </w:r>
          </w:p>
        </w:tc>
      </w:tr>
      <w:tr>
        <w:tc>
          <w:tcPr>
            <w:tcW w:type="dxa" w:w="2304"/>
            <w:vAlign w:val="center"/>
            <w:shd w:fill="EAF4F6"/>
          </w:tcPr>
          <w:p>
            <w:pPr>
              <w:spacing w:after="20" w:before="20"/>
            </w:pPr>
            <w:r/>
            <w:r>
              <w:rPr>
                <w:rFonts w:ascii="Aptos" w:hAnsi="Aptos"/>
                <w:b/>
                <w:color w:val="10283D"/>
                <w:sz w:val="17"/>
              </w:rPr>
              <w:t>Total</w:t>
            </w:r>
          </w:p>
        </w:tc>
        <w:tc>
          <w:tcPr>
            <w:tcW w:type="dxa" w:w="6912"/>
            <w:vAlign w:val="center"/>
            <w:shd w:fill="EAF4F6"/>
          </w:tcPr>
          <w:p>
            <w:pPr>
              <w:spacing w:after="20" w:before="20"/>
            </w:pPr>
            <w:r/>
            <w:r>
              <w:rPr>
                <w:rFonts w:ascii="Aptos" w:hAnsi="Aptos"/>
                <w:b w:val="0"/>
                <w:color w:val="243746"/>
                <w:sz w:val="17"/>
              </w:rPr>
              <w:t>48 classes</w:t>
            </w:r>
          </w:p>
        </w:tc>
      </w:tr>
      <w:tr>
        <w:tc>
          <w:tcPr>
            <w:tcW w:type="dxa" w:w="2304"/>
            <w:vAlign w:val="center"/>
            <w:shd w:fill="F6F9FA"/>
          </w:tcPr>
          <w:p>
            <w:pPr>
              <w:spacing w:after="20" w:before="20"/>
            </w:pPr>
            <w:r/>
            <w:r>
              <w:rPr>
                <w:rFonts w:ascii="Aptos" w:hAnsi="Aptos"/>
                <w:b/>
                <w:color w:val="10283D"/>
                <w:sz w:val="17"/>
              </w:rPr>
              <w:t>Session length</w:t>
            </w:r>
          </w:p>
        </w:tc>
        <w:tc>
          <w:tcPr>
            <w:tcW w:type="dxa" w:w="6912"/>
            <w:vAlign w:val="center"/>
            <w:shd w:fill="F6F9FA"/>
          </w:tcPr>
          <w:p>
            <w:pPr>
              <w:spacing w:after="20" w:before="20"/>
            </w:pPr>
            <w:r/>
            <w:r>
              <w:rPr>
                <w:rFonts w:ascii="Aptos" w:hAnsi="Aptos"/>
                <w:b w:val="0"/>
                <w:color w:val="243746"/>
                <w:sz w:val="17"/>
              </w:rPr>
              <w:t>2 hours per class</w:t>
            </w:r>
          </w:p>
        </w:tc>
      </w:tr>
      <w:tr>
        <w:tc>
          <w:tcPr>
            <w:tcW w:type="dxa" w:w="2304"/>
            <w:vAlign w:val="center"/>
            <w:shd w:fill="EAF4F6"/>
          </w:tcPr>
          <w:p>
            <w:pPr>
              <w:spacing w:after="20" w:before="20"/>
            </w:pPr>
            <w:r/>
            <w:r>
              <w:rPr>
                <w:rFonts w:ascii="Aptos" w:hAnsi="Aptos"/>
                <w:b/>
                <w:color w:val="10283D"/>
                <w:sz w:val="17"/>
              </w:rPr>
              <w:t>Delivery</w:t>
            </w:r>
          </w:p>
        </w:tc>
        <w:tc>
          <w:tcPr>
            <w:tcW w:type="dxa" w:w="6912"/>
            <w:vAlign w:val="center"/>
            <w:shd w:fill="EAF4F6"/>
          </w:tcPr>
          <w:p>
            <w:pPr>
              <w:spacing w:after="20" w:before="20"/>
            </w:pPr>
            <w:r/>
            <w:r>
              <w:rPr>
                <w:rFonts w:ascii="Aptos" w:hAnsi="Aptos"/>
                <w:b w:val="0"/>
                <w:color w:val="243746"/>
                <w:sz w:val="17"/>
              </w:rPr>
              <w:t>Weekend classes for working professionals</w:t>
            </w:r>
          </w:p>
        </w:tc>
      </w:tr>
      <w:tr>
        <w:tc>
          <w:tcPr>
            <w:tcW w:type="dxa" w:w="2304"/>
            <w:vAlign w:val="center"/>
            <w:shd w:fill="F6F9FA"/>
          </w:tcPr>
          <w:p>
            <w:pPr>
              <w:spacing w:after="20" w:before="20"/>
            </w:pPr>
            <w:r/>
            <w:r>
              <w:rPr>
                <w:rFonts w:ascii="Aptos" w:hAnsi="Aptos"/>
                <w:b/>
                <w:color w:val="10283D"/>
                <w:sz w:val="17"/>
              </w:rPr>
              <w:t>Indicative duration</w:t>
            </w:r>
          </w:p>
        </w:tc>
        <w:tc>
          <w:tcPr>
            <w:tcW w:type="dxa" w:w="6912"/>
            <w:vAlign w:val="center"/>
            <w:shd w:fill="F6F9FA"/>
          </w:tcPr>
          <w:p>
            <w:pPr>
              <w:spacing w:after="20" w:before="20"/>
            </w:pPr>
            <w:r/>
            <w:r>
              <w:rPr>
                <w:rFonts w:ascii="Aptos" w:hAnsi="Aptos"/>
                <w:b w:val="0"/>
                <w:color w:val="243746"/>
                <w:sz w:val="17"/>
              </w:rPr>
              <w:t>Approximately 3–4 months</w:t>
            </w:r>
          </w:p>
        </w:tc>
      </w:tr>
    </w:tbl>
    <w:p>
      <w:pPr>
        <w:spacing w:after="20"/>
      </w:pPr>
    </w:p>
    <w:p>
      <w:pPr>
        <w:pStyle w:val="Heading1"/>
      </w:pPr>
      <w:r>
        <w:t>2. Master roadmap at a glance</w:t>
      </w:r>
    </w:p>
    <w:tbl>
      <w:tblPr>
        <w:tblW w:type="auto" w:w="0"/>
        <w:jc w:val="center"/>
        <w:tblLayout w:type="fixed"/>
        <w:tblLook w:firstColumn="1" w:firstRow="1" w:lastColumn="0" w:lastRow="0" w:noHBand="0" w:noVBand="1" w:val="04A0"/>
      </w:tblPr>
      <w:tblGrid>
        <w:gridCol w:w="3427"/>
        <w:gridCol w:w="3427"/>
        <w:gridCol w:w="3427"/>
      </w:tblGrid>
      <w:tr>
        <w:tc>
          <w:tcPr>
            <w:tcW w:type="dxa" w:w="1944"/>
            <w:vAlign w:val="center"/>
            <w:shd w:fill="10283D"/>
          </w:tcPr>
          <w:p>
            <w:pPr>
              <w:spacing w:after="20" w:before="20"/>
            </w:pPr>
            <w:r/>
            <w:r>
              <w:rPr>
                <w:rFonts w:ascii="Aptos" w:hAnsi="Aptos"/>
                <w:b/>
                <w:color w:val="FFFFFF"/>
                <w:sz w:val="16"/>
              </w:rPr>
              <w:t>Level</w:t>
            </w:r>
          </w:p>
        </w:tc>
        <w:tc>
          <w:tcPr>
            <w:tcW w:type="dxa" w:w="4464"/>
            <w:vAlign w:val="center"/>
            <w:shd w:fill="10283D"/>
          </w:tcPr>
          <w:p>
            <w:pPr>
              <w:spacing w:after="20" w:before="20"/>
            </w:pPr>
            <w:r/>
            <w:r>
              <w:rPr>
                <w:rFonts w:ascii="Aptos" w:hAnsi="Aptos"/>
                <w:b/>
                <w:color w:val="FFFFFF"/>
                <w:sz w:val="16"/>
              </w:rPr>
              <w:t>Learner journey</w:t>
            </w:r>
          </w:p>
        </w:tc>
        <w:tc>
          <w:tcPr>
            <w:tcW w:type="dxa" w:w="3312"/>
            <w:vAlign w:val="center"/>
            <w:shd w:fill="10283D"/>
          </w:tcPr>
          <w:p>
            <w:pPr>
              <w:spacing w:after="20" w:before="20"/>
            </w:pPr>
            <w:r/>
            <w:r>
              <w:rPr>
                <w:rFonts w:ascii="Aptos" w:hAnsi="Aptos"/>
                <w:b/>
                <w:color w:val="FFFFFF"/>
                <w:sz w:val="16"/>
              </w:rPr>
              <w:t>Main capability at completion</w:t>
            </w:r>
          </w:p>
        </w:tc>
      </w:tr>
      <w:tr>
        <w:tc>
          <w:tcPr>
            <w:tcW w:type="dxa" w:w="1944"/>
            <w:vAlign w:val="center"/>
            <w:shd w:fill="EAF4F6"/>
          </w:tcPr>
          <w:p>
            <w:pPr>
              <w:spacing w:after="20" w:before="20"/>
            </w:pPr>
            <w:r/>
            <w:r>
              <w:rPr>
                <w:rFonts w:ascii="Aptos" w:hAnsi="Aptos"/>
                <w:b/>
                <w:color w:val="10283D"/>
                <w:sz w:val="15"/>
              </w:rPr>
              <w:t>Fundamentals · 12 classes</w:t>
            </w:r>
          </w:p>
        </w:tc>
        <w:tc>
          <w:tcPr>
            <w:tcW w:type="dxa" w:w="4464"/>
            <w:vAlign w:val="center"/>
            <w:shd w:fill="EAF4F6"/>
          </w:tcPr>
          <w:p>
            <w:pPr>
              <w:spacing w:after="20" w:before="20"/>
            </w:pPr>
            <w:r/>
            <w:r>
              <w:rPr>
                <w:rFonts w:ascii="Aptos" w:hAnsi="Aptos"/>
                <w:b w:val="0"/>
                <w:color w:val="243746"/>
                <w:sz w:val="15"/>
              </w:rPr>
              <w:t>AI literacy, ML/DL/NLP basics, Generative AI, LLMs, AI tools, prompt engineering and responsible use.</w:t>
            </w:r>
          </w:p>
        </w:tc>
        <w:tc>
          <w:tcPr>
            <w:tcW w:type="dxa" w:w="3312"/>
            <w:vAlign w:val="center"/>
            <w:shd w:fill="EAF4F6"/>
          </w:tcPr>
          <w:p>
            <w:pPr>
              <w:spacing w:after="20" w:before="20"/>
            </w:pPr>
            <w:r/>
            <w:r>
              <w:rPr>
                <w:rFonts w:ascii="Aptos" w:hAnsi="Aptos"/>
                <w:b w:val="0"/>
                <w:color w:val="243746"/>
                <w:sz w:val="15"/>
              </w:rPr>
              <w:t>Confident AI user who can select tools, write effective prompts and apply AI to everyday work.</w:t>
            </w:r>
          </w:p>
        </w:tc>
      </w:tr>
      <w:tr>
        <w:tc>
          <w:tcPr>
            <w:tcW w:type="dxa" w:w="1944"/>
            <w:vAlign w:val="center"/>
            <w:shd w:fill="F6F9FA"/>
          </w:tcPr>
          <w:p>
            <w:pPr>
              <w:spacing w:after="20" w:before="20"/>
            </w:pPr>
            <w:r/>
            <w:r>
              <w:rPr>
                <w:rFonts w:ascii="Aptos" w:hAnsi="Aptos"/>
                <w:b/>
                <w:color w:val="10283D"/>
                <w:sz w:val="15"/>
              </w:rPr>
              <w:t>Intermediate · 20 classes</w:t>
            </w:r>
          </w:p>
        </w:tc>
        <w:tc>
          <w:tcPr>
            <w:tcW w:type="dxa" w:w="4464"/>
            <w:vAlign w:val="center"/>
            <w:shd w:fill="F6F9FA"/>
          </w:tcPr>
          <w:p>
            <w:pPr>
              <w:spacing w:after="20" w:before="20"/>
            </w:pPr>
            <w:r/>
            <w:r>
              <w:rPr>
                <w:rFonts w:ascii="Aptos" w:hAnsi="Aptos"/>
                <w:b w:val="0"/>
                <w:color w:val="243746"/>
                <w:sz w:val="15"/>
              </w:rPr>
              <w:t>Model architectures, APIs, embeddings, vector databases, RAG, fine-tuning, LangChain, LangGraph and LLM application development.</w:t>
            </w:r>
          </w:p>
        </w:tc>
        <w:tc>
          <w:tcPr>
            <w:tcW w:type="dxa" w:w="3312"/>
            <w:vAlign w:val="center"/>
            <w:shd w:fill="F6F9FA"/>
          </w:tcPr>
          <w:p>
            <w:pPr>
              <w:spacing w:after="20" w:before="20"/>
            </w:pPr>
            <w:r/>
            <w:r>
              <w:rPr>
                <w:rFonts w:ascii="Aptos" w:hAnsi="Aptos"/>
                <w:b w:val="0"/>
                <w:color w:val="243746"/>
                <w:sz w:val="15"/>
              </w:rPr>
              <w:t>Builder of useful LLM applications, document assistants and retrieval-based solutions.</w:t>
            </w:r>
          </w:p>
        </w:tc>
      </w:tr>
      <w:tr>
        <w:tc>
          <w:tcPr>
            <w:tcW w:type="dxa" w:w="1944"/>
            <w:vAlign w:val="center"/>
            <w:shd w:fill="EAF4F6"/>
          </w:tcPr>
          <w:p>
            <w:pPr>
              <w:spacing w:after="20" w:before="20"/>
            </w:pPr>
            <w:r/>
            <w:r>
              <w:rPr>
                <w:rFonts w:ascii="Aptos" w:hAnsi="Aptos"/>
                <w:b/>
                <w:color w:val="10283D"/>
                <w:sz w:val="15"/>
              </w:rPr>
              <w:t>Advanced · 16 classes</w:t>
            </w:r>
          </w:p>
        </w:tc>
        <w:tc>
          <w:tcPr>
            <w:tcW w:type="dxa" w:w="4464"/>
            <w:vAlign w:val="center"/>
            <w:shd w:fill="EAF4F6"/>
          </w:tcPr>
          <w:p>
            <w:pPr>
              <w:spacing w:after="20" w:before="20"/>
            </w:pPr>
            <w:r/>
            <w:r>
              <w:rPr>
                <w:rFonts w:ascii="Aptos" w:hAnsi="Aptos"/>
                <w:b w:val="0"/>
                <w:color w:val="243746"/>
                <w:sz w:val="15"/>
              </w:rPr>
              <w:t>Agentic frameworks, MCP, CrewAI, AutoGen, advanced workflows, image generation, multimodal AI, deployment and governance.</w:t>
            </w:r>
          </w:p>
        </w:tc>
        <w:tc>
          <w:tcPr>
            <w:tcW w:type="dxa" w:w="3312"/>
            <w:vAlign w:val="center"/>
            <w:shd w:fill="EAF4F6"/>
          </w:tcPr>
          <w:p>
            <w:pPr>
              <w:spacing w:after="20" w:before="20"/>
            </w:pPr>
            <w:r/>
            <w:r>
              <w:rPr>
                <w:rFonts w:ascii="Aptos" w:hAnsi="Aptos"/>
                <w:b w:val="0"/>
                <w:color w:val="243746"/>
                <w:sz w:val="15"/>
              </w:rPr>
              <w:t>Applied AI practitioner who can design, orchestrate, evaluate and govern advanced AI solutions.</w:t>
            </w:r>
          </w:p>
        </w:tc>
      </w:tr>
    </w:tbl>
    <w:p>
      <w:pPr>
        <w:spacing w:after="20"/>
      </w:pPr>
    </w:p>
    <w:p>
      <w:pPr>
        <w:pStyle w:val="Heading1"/>
      </w:pPr>
      <w:r>
        <w:t>3. Level 1 — Applied Generative AI Specialization: Fundamentals</w:t>
      </w:r>
    </w:p>
    <w:tbl>
      <w:tblPr>
        <w:tblW w:type="auto" w:w="0"/>
        <w:tblLook w:firstColumn="1" w:firstRow="1" w:lastColumn="0" w:lastRow="0" w:noHBand="0" w:noVBand="1" w:val="04A0"/>
      </w:tblPr>
      <w:tblGrid>
        <w:gridCol w:w="10282"/>
      </w:tblGrid>
      <w:tr>
        <w:tc>
          <w:tcPr>
            <w:tcW w:type="dxa" w:w="10282"/>
            <w:shd w:fill="1B405A"/>
          </w:tcPr>
          <w:p>
            <w:pPr>
              <w:spacing w:after="60"/>
            </w:pPr>
            <w:r/>
            <w:r>
              <w:rPr>
                <w:b/>
                <w:color w:val="F4AE42"/>
                <w:sz w:val="20"/>
              </w:rPr>
              <w:t>12 CLASSES  |  BEGINNER LEVEL</w:t>
              <w:br/>
            </w:r>
            <w:r>
              <w:rPr>
                <w:color w:val="FFFFFF"/>
                <w:sz w:val="17"/>
              </w:rPr>
              <w:t>Build AI literacy, understand the Generative AI ecosystem and learn to use AI tools effectively and responsibly.</w:t>
            </w:r>
          </w:p>
        </w:tc>
      </w:tr>
    </w:tbl>
    <w:p>
      <w:pPr>
        <w:spacing w:after="20"/>
      </w:pPr>
    </w:p>
    <w:tbl>
      <w:tblPr>
        <w:tblW w:type="auto" w:w="0"/>
        <w:jc w:val="center"/>
        <w:tblLayout w:type="fixed"/>
        <w:tblLook w:firstColumn="1" w:firstRow="1" w:lastColumn="0" w:lastRow="0" w:noHBand="0" w:noVBand="1" w:val="04A0"/>
      </w:tblPr>
      <w:tblGrid>
        <w:gridCol w:w="3427"/>
        <w:gridCol w:w="3427"/>
        <w:gridCol w:w="3427"/>
      </w:tblGrid>
      <w:tr>
        <w:tc>
          <w:tcPr>
            <w:tcW w:type="dxa" w:w="792"/>
            <w:vAlign w:val="center"/>
            <w:shd w:fill="10283D"/>
          </w:tcPr>
          <w:p>
            <w:pPr>
              <w:spacing w:after="20" w:before="20"/>
            </w:pPr>
            <w:r/>
            <w:r>
              <w:rPr>
                <w:rFonts w:ascii="Aptos" w:hAnsi="Aptos"/>
                <w:b/>
                <w:color w:val="FFFFFF"/>
                <w:sz w:val="16"/>
              </w:rPr>
              <w:t>Class</w:t>
            </w:r>
          </w:p>
        </w:tc>
        <w:tc>
          <w:tcPr>
            <w:tcW w:type="dxa" w:w="2880"/>
            <w:vAlign w:val="center"/>
            <w:shd w:fill="10283D"/>
          </w:tcPr>
          <w:p>
            <w:pPr>
              <w:spacing w:after="20" w:before="20"/>
            </w:pPr>
            <w:r/>
            <w:r>
              <w:rPr>
                <w:rFonts w:ascii="Aptos" w:hAnsi="Aptos"/>
                <w:b/>
                <w:color w:val="FFFFFF"/>
                <w:sz w:val="16"/>
              </w:rPr>
              <w:t>Topic</w:t>
            </w:r>
          </w:p>
        </w:tc>
        <w:tc>
          <w:tcPr>
            <w:tcW w:type="dxa" w:w="6048"/>
            <w:vAlign w:val="center"/>
            <w:shd w:fill="10283D"/>
          </w:tcPr>
          <w:p>
            <w:pPr>
              <w:spacing w:after="20" w:before="20"/>
            </w:pPr>
            <w:r/>
            <w:r>
              <w:rPr>
                <w:rFonts w:ascii="Aptos" w:hAnsi="Aptos"/>
                <w:b/>
                <w:color w:val="FFFFFF"/>
                <w:sz w:val="16"/>
              </w:rPr>
              <w:t>Coverage</w:t>
            </w:r>
          </w:p>
        </w:tc>
      </w:tr>
      <w:tr>
        <w:tc>
          <w:tcPr>
            <w:tcW w:type="dxa" w:w="792"/>
            <w:vAlign w:val="center"/>
            <w:shd w:fill="EAF4F6"/>
          </w:tcPr>
          <w:p>
            <w:pPr>
              <w:spacing w:after="20" w:before="20"/>
            </w:pPr>
            <w:r/>
            <w:r>
              <w:rPr>
                <w:rFonts w:ascii="Aptos" w:hAnsi="Aptos"/>
                <w:b/>
                <w:color w:val="10283D"/>
                <w:sz w:val="15"/>
              </w:rPr>
              <w:t>1</w:t>
            </w:r>
          </w:p>
        </w:tc>
        <w:tc>
          <w:tcPr>
            <w:tcW w:type="dxa" w:w="2880"/>
            <w:vAlign w:val="center"/>
            <w:shd w:fill="EAF4F6"/>
          </w:tcPr>
          <w:p>
            <w:pPr>
              <w:spacing w:after="20" w:before="20"/>
            </w:pPr>
            <w:r/>
            <w:r>
              <w:rPr>
                <w:rFonts w:ascii="Aptos" w:hAnsi="Aptos"/>
                <w:b w:val="0"/>
                <w:color w:val="243746"/>
                <w:sz w:val="15"/>
              </w:rPr>
              <w:t>Introduction to Artificial Intelligence</w:t>
            </w:r>
          </w:p>
        </w:tc>
        <w:tc>
          <w:tcPr>
            <w:tcW w:type="dxa" w:w="6048"/>
            <w:vAlign w:val="center"/>
            <w:shd w:fill="EAF4F6"/>
          </w:tcPr>
          <w:p>
            <w:pPr>
              <w:spacing w:after="20" w:before="20"/>
            </w:pPr>
            <w:r/>
            <w:r>
              <w:rPr>
                <w:rFonts w:ascii="Aptos" w:hAnsi="Aptos"/>
                <w:b w:val="0"/>
                <w:color w:val="243746"/>
                <w:sz w:val="15"/>
              </w:rPr>
              <w:t>What AI is; general intelligence; strong vs. weak AI; predictive vs. Generative AI; common AI applications.</w:t>
            </w:r>
          </w:p>
        </w:tc>
      </w:tr>
      <w:tr>
        <w:tc>
          <w:tcPr>
            <w:tcW w:type="dxa" w:w="792"/>
            <w:vAlign w:val="center"/>
            <w:shd w:fill="F6F9FA"/>
          </w:tcPr>
          <w:p>
            <w:pPr>
              <w:spacing w:after="20" w:before="20"/>
            </w:pPr>
            <w:r/>
            <w:r>
              <w:rPr>
                <w:rFonts w:ascii="Aptos" w:hAnsi="Aptos"/>
                <w:b/>
                <w:color w:val="10283D"/>
                <w:sz w:val="15"/>
              </w:rPr>
              <w:t>2</w:t>
            </w:r>
          </w:p>
        </w:tc>
        <w:tc>
          <w:tcPr>
            <w:tcW w:type="dxa" w:w="2880"/>
            <w:vAlign w:val="center"/>
            <w:shd w:fill="F6F9FA"/>
          </w:tcPr>
          <w:p>
            <w:pPr>
              <w:spacing w:after="20" w:before="20"/>
            </w:pPr>
            <w:r/>
            <w:r>
              <w:rPr>
                <w:rFonts w:ascii="Aptos" w:hAnsi="Aptos"/>
                <w:b w:val="0"/>
                <w:color w:val="243746"/>
                <w:sz w:val="15"/>
              </w:rPr>
              <w:t>Machine Learning Foundations</w:t>
            </w:r>
          </w:p>
        </w:tc>
        <w:tc>
          <w:tcPr>
            <w:tcW w:type="dxa" w:w="6048"/>
            <w:vAlign w:val="center"/>
            <w:shd w:fill="F6F9FA"/>
          </w:tcPr>
          <w:p>
            <w:pPr>
              <w:spacing w:after="20" w:before="20"/>
            </w:pPr>
            <w:r/>
            <w:r>
              <w:rPr>
                <w:rFonts w:ascii="Aptos" w:hAnsi="Aptos"/>
                <w:b w:val="0"/>
                <w:color w:val="243746"/>
                <w:sz w:val="15"/>
              </w:rPr>
              <w:t>Labeled and unlabeled data; datasets; classification; clustering; reinforcement learning; KNN; K-Means; regression; Naive Bayes.</w:t>
            </w:r>
          </w:p>
        </w:tc>
      </w:tr>
      <w:tr>
        <w:tc>
          <w:tcPr>
            <w:tcW w:type="dxa" w:w="792"/>
            <w:vAlign w:val="center"/>
            <w:shd w:fill="EAF4F6"/>
          </w:tcPr>
          <w:p>
            <w:pPr>
              <w:spacing w:after="20" w:before="20"/>
            </w:pPr>
            <w:r/>
            <w:r>
              <w:rPr>
                <w:rFonts w:ascii="Aptos" w:hAnsi="Aptos"/>
                <w:b/>
                <w:color w:val="10283D"/>
                <w:sz w:val="15"/>
              </w:rPr>
              <w:t>3</w:t>
            </w:r>
          </w:p>
        </w:tc>
        <w:tc>
          <w:tcPr>
            <w:tcW w:type="dxa" w:w="2880"/>
            <w:vAlign w:val="center"/>
            <w:shd w:fill="EAF4F6"/>
          </w:tcPr>
          <w:p>
            <w:pPr>
              <w:spacing w:after="20" w:before="20"/>
            </w:pPr>
            <w:r/>
            <w:r>
              <w:rPr>
                <w:rFonts w:ascii="Aptos" w:hAnsi="Aptos"/>
                <w:b w:val="0"/>
                <w:color w:val="243746"/>
                <w:sz w:val="15"/>
              </w:rPr>
              <w:t>Deep Learning and Neural Networks</w:t>
            </w:r>
          </w:p>
        </w:tc>
        <w:tc>
          <w:tcPr>
            <w:tcW w:type="dxa" w:w="6048"/>
            <w:vAlign w:val="center"/>
            <w:shd w:fill="EAF4F6"/>
          </w:tcPr>
          <w:p>
            <w:pPr>
              <w:spacing w:after="20" w:before="20"/>
            </w:pPr>
            <w:r/>
            <w:r>
              <w:rPr>
                <w:rFonts w:ascii="Aptos" w:hAnsi="Aptos"/>
                <w:b w:val="0"/>
                <w:color w:val="243746"/>
                <w:sz w:val="15"/>
              </w:rPr>
              <w:t>Artificial neural networks; layers, weights and activation; training; learning from errors; overfitting and underfitting.</w:t>
            </w:r>
          </w:p>
        </w:tc>
      </w:tr>
      <w:tr>
        <w:tc>
          <w:tcPr>
            <w:tcW w:type="dxa" w:w="792"/>
            <w:vAlign w:val="center"/>
            <w:shd w:fill="F6F9FA"/>
          </w:tcPr>
          <w:p>
            <w:pPr>
              <w:spacing w:after="20" w:before="20"/>
            </w:pPr>
            <w:r/>
            <w:r>
              <w:rPr>
                <w:rFonts w:ascii="Aptos" w:hAnsi="Aptos"/>
                <w:b/>
                <w:color w:val="10283D"/>
                <w:sz w:val="15"/>
              </w:rPr>
              <w:t>4</w:t>
            </w:r>
          </w:p>
        </w:tc>
        <w:tc>
          <w:tcPr>
            <w:tcW w:type="dxa" w:w="2880"/>
            <w:vAlign w:val="center"/>
            <w:shd w:fill="F6F9FA"/>
          </w:tcPr>
          <w:p>
            <w:pPr>
              <w:spacing w:after="20" w:before="20"/>
            </w:pPr>
            <w:r/>
            <w:r>
              <w:rPr>
                <w:rFonts w:ascii="Aptos" w:hAnsi="Aptos"/>
                <w:b w:val="0"/>
                <w:color w:val="243746"/>
                <w:sz w:val="15"/>
              </w:rPr>
              <w:t>Introduction to NLP and Transformers</w:t>
            </w:r>
          </w:p>
        </w:tc>
        <w:tc>
          <w:tcPr>
            <w:tcW w:type="dxa" w:w="6048"/>
            <w:vAlign w:val="center"/>
            <w:shd w:fill="F6F9FA"/>
          </w:tcPr>
          <w:p>
            <w:pPr>
              <w:spacing w:after="20" w:before="20"/>
            </w:pPr>
            <w:r/>
            <w:r>
              <w:rPr>
                <w:rFonts w:ascii="Aptos" w:hAnsi="Aptos"/>
                <w:b w:val="0"/>
                <w:color w:val="243746"/>
                <w:sz w:val="15"/>
              </w:rPr>
              <w:t>Natural Language Processing; tokens; language models; transformer overview; attention concept; how language models process text.</w:t>
            </w:r>
          </w:p>
        </w:tc>
      </w:tr>
      <w:tr>
        <w:tc>
          <w:tcPr>
            <w:tcW w:type="dxa" w:w="792"/>
            <w:vAlign w:val="center"/>
            <w:shd w:fill="EAF4F6"/>
          </w:tcPr>
          <w:p>
            <w:pPr>
              <w:spacing w:after="20" w:before="20"/>
            </w:pPr>
            <w:r/>
            <w:r>
              <w:rPr>
                <w:rFonts w:ascii="Aptos" w:hAnsi="Aptos"/>
                <w:b/>
                <w:color w:val="10283D"/>
                <w:sz w:val="15"/>
              </w:rPr>
              <w:t>5</w:t>
            </w:r>
          </w:p>
        </w:tc>
        <w:tc>
          <w:tcPr>
            <w:tcW w:type="dxa" w:w="2880"/>
            <w:vAlign w:val="center"/>
            <w:shd w:fill="EAF4F6"/>
          </w:tcPr>
          <w:p>
            <w:pPr>
              <w:spacing w:after="20" w:before="20"/>
            </w:pPr>
            <w:r/>
            <w:r>
              <w:rPr>
                <w:rFonts w:ascii="Aptos" w:hAnsi="Aptos"/>
                <w:b w:val="0"/>
                <w:color w:val="243746"/>
                <w:sz w:val="15"/>
              </w:rPr>
              <w:t>Generative AI and Foundation Models</w:t>
            </w:r>
          </w:p>
        </w:tc>
        <w:tc>
          <w:tcPr>
            <w:tcW w:type="dxa" w:w="6048"/>
            <w:vAlign w:val="center"/>
            <w:shd w:fill="EAF4F6"/>
          </w:tcPr>
          <w:p>
            <w:pPr>
              <w:spacing w:after="20" w:before="20"/>
            </w:pPr>
            <w:r/>
            <w:r>
              <w:rPr>
                <w:rFonts w:ascii="Aptos" w:hAnsi="Aptos"/>
                <w:b w:val="0"/>
                <w:color w:val="243746"/>
                <w:sz w:val="15"/>
              </w:rPr>
              <w:t>Generative AI concepts; foundation models; LLMs; image diffusion; GANs; VAEs; text and image generation.</w:t>
            </w:r>
          </w:p>
        </w:tc>
      </w:tr>
      <w:tr>
        <w:tc>
          <w:tcPr>
            <w:tcW w:type="dxa" w:w="792"/>
            <w:vAlign w:val="center"/>
            <w:shd w:fill="F6F9FA"/>
          </w:tcPr>
          <w:p>
            <w:pPr>
              <w:spacing w:after="20" w:before="20"/>
            </w:pPr>
            <w:r/>
            <w:r>
              <w:rPr>
                <w:rFonts w:ascii="Aptos" w:hAnsi="Aptos"/>
                <w:b/>
                <w:color w:val="10283D"/>
                <w:sz w:val="15"/>
              </w:rPr>
              <w:t>6</w:t>
            </w:r>
          </w:p>
        </w:tc>
        <w:tc>
          <w:tcPr>
            <w:tcW w:type="dxa" w:w="2880"/>
            <w:vAlign w:val="center"/>
            <w:shd w:fill="F6F9FA"/>
          </w:tcPr>
          <w:p>
            <w:pPr>
              <w:spacing w:after="20" w:before="20"/>
            </w:pPr>
            <w:r/>
            <w:r>
              <w:rPr>
                <w:rFonts w:ascii="Aptos" w:hAnsi="Aptos"/>
                <w:b w:val="0"/>
                <w:color w:val="243746"/>
                <w:sz w:val="15"/>
              </w:rPr>
              <w:t>Large Language Models</w:t>
            </w:r>
          </w:p>
        </w:tc>
        <w:tc>
          <w:tcPr>
            <w:tcW w:type="dxa" w:w="6048"/>
            <w:vAlign w:val="center"/>
            <w:shd w:fill="F6F9FA"/>
          </w:tcPr>
          <w:p>
            <w:pPr>
              <w:spacing w:after="20" w:before="20"/>
            </w:pPr>
            <w:r/>
            <w:r>
              <w:rPr>
                <w:rFonts w:ascii="Aptos" w:hAnsi="Aptos"/>
                <w:b w:val="0"/>
                <w:color w:val="243746"/>
                <w:sz w:val="15"/>
              </w:rPr>
              <w:t>How LLMs are trained; pre-training and instruction tuning; parameters; tokens; context windows; BERT, GPT, PaLM and open LLMs.</w:t>
            </w:r>
          </w:p>
        </w:tc>
      </w:tr>
      <w:tr>
        <w:tc>
          <w:tcPr>
            <w:tcW w:type="dxa" w:w="792"/>
            <w:vAlign w:val="center"/>
            <w:shd w:fill="EAF4F6"/>
          </w:tcPr>
          <w:p>
            <w:pPr>
              <w:spacing w:after="20" w:before="20"/>
            </w:pPr>
            <w:r/>
            <w:r>
              <w:rPr>
                <w:rFonts w:ascii="Aptos" w:hAnsi="Aptos"/>
                <w:b/>
                <w:color w:val="10283D"/>
                <w:sz w:val="15"/>
              </w:rPr>
              <w:t>7</w:t>
            </w:r>
          </w:p>
        </w:tc>
        <w:tc>
          <w:tcPr>
            <w:tcW w:type="dxa" w:w="2880"/>
            <w:vAlign w:val="center"/>
            <w:shd w:fill="EAF4F6"/>
          </w:tcPr>
          <w:p>
            <w:pPr>
              <w:spacing w:after="20" w:before="20"/>
            </w:pPr>
            <w:r/>
            <w:r>
              <w:rPr>
                <w:rFonts w:ascii="Aptos" w:hAnsi="Aptos"/>
                <w:b w:val="0"/>
                <w:color w:val="243746"/>
                <w:sz w:val="15"/>
              </w:rPr>
              <w:t>AI Tools Ecosystem — OpenAI and ChatGPT</w:t>
            </w:r>
          </w:p>
        </w:tc>
        <w:tc>
          <w:tcPr>
            <w:tcW w:type="dxa" w:w="6048"/>
            <w:vAlign w:val="center"/>
            <w:shd w:fill="EAF4F6"/>
          </w:tcPr>
          <w:p>
            <w:pPr>
              <w:spacing w:after="20" w:before="20"/>
            </w:pPr>
            <w:r/>
            <w:r>
              <w:rPr>
                <w:rFonts w:ascii="Aptos" w:hAnsi="Aptos"/>
                <w:b w:val="0"/>
                <w:color w:val="243746"/>
                <w:sz w:val="15"/>
              </w:rPr>
              <w:t>ChatGPT capabilities; custom GPTs; OpenAI model ecosystem; practical use cases; introduction to the OpenAI platform.</w:t>
            </w:r>
          </w:p>
        </w:tc>
      </w:tr>
      <w:tr>
        <w:tc>
          <w:tcPr>
            <w:tcW w:type="dxa" w:w="792"/>
            <w:vAlign w:val="center"/>
            <w:shd w:fill="F6F9FA"/>
          </w:tcPr>
          <w:p>
            <w:pPr>
              <w:spacing w:after="20" w:before="20"/>
            </w:pPr>
            <w:r/>
            <w:r>
              <w:rPr>
                <w:rFonts w:ascii="Aptos" w:hAnsi="Aptos"/>
                <w:b/>
                <w:color w:val="10283D"/>
                <w:sz w:val="15"/>
              </w:rPr>
              <w:t>8</w:t>
            </w:r>
          </w:p>
        </w:tc>
        <w:tc>
          <w:tcPr>
            <w:tcW w:type="dxa" w:w="2880"/>
            <w:vAlign w:val="center"/>
            <w:shd w:fill="F6F9FA"/>
          </w:tcPr>
          <w:p>
            <w:pPr>
              <w:spacing w:after="20" w:before="20"/>
            </w:pPr>
            <w:r/>
            <w:r>
              <w:rPr>
                <w:rFonts w:ascii="Aptos" w:hAnsi="Aptos"/>
                <w:b w:val="0"/>
                <w:color w:val="243746"/>
                <w:sz w:val="15"/>
              </w:rPr>
              <w:t>Google Gemini, Anthropic Claude and Microsoft Copilot</w:t>
            </w:r>
          </w:p>
        </w:tc>
        <w:tc>
          <w:tcPr>
            <w:tcW w:type="dxa" w:w="6048"/>
            <w:vAlign w:val="center"/>
            <w:shd w:fill="F6F9FA"/>
          </w:tcPr>
          <w:p>
            <w:pPr>
              <w:spacing w:after="20" w:before="20"/>
            </w:pPr>
            <w:r/>
            <w:r>
              <w:rPr>
                <w:rFonts w:ascii="Aptos" w:hAnsi="Aptos"/>
                <w:b w:val="0"/>
                <w:color w:val="243746"/>
                <w:sz w:val="15"/>
              </w:rPr>
              <w:t>Compare Gemini, Claude and Copilot; text and document tasks; research; coding assistance; productivity workflows.</w:t>
            </w:r>
          </w:p>
        </w:tc>
      </w:tr>
      <w:tr>
        <w:tc>
          <w:tcPr>
            <w:tcW w:type="dxa" w:w="792"/>
            <w:vAlign w:val="center"/>
            <w:shd w:fill="EAF4F6"/>
          </w:tcPr>
          <w:p>
            <w:pPr>
              <w:spacing w:after="20" w:before="20"/>
            </w:pPr>
            <w:r/>
            <w:r>
              <w:rPr>
                <w:rFonts w:ascii="Aptos" w:hAnsi="Aptos"/>
                <w:b/>
                <w:color w:val="10283D"/>
                <w:sz w:val="15"/>
              </w:rPr>
              <w:t>9</w:t>
            </w:r>
          </w:p>
        </w:tc>
        <w:tc>
          <w:tcPr>
            <w:tcW w:type="dxa" w:w="2880"/>
            <w:vAlign w:val="center"/>
            <w:shd w:fill="EAF4F6"/>
          </w:tcPr>
          <w:p>
            <w:pPr>
              <w:spacing w:after="20" w:before="20"/>
            </w:pPr>
            <w:r/>
            <w:r>
              <w:rPr>
                <w:rFonts w:ascii="Aptos" w:hAnsi="Aptos"/>
                <w:b w:val="0"/>
                <w:color w:val="243746"/>
                <w:sz w:val="15"/>
              </w:rPr>
              <w:t>Prompt Engineering Fundamentals</w:t>
            </w:r>
          </w:p>
        </w:tc>
        <w:tc>
          <w:tcPr>
            <w:tcW w:type="dxa" w:w="6048"/>
            <w:vAlign w:val="center"/>
            <w:shd w:fill="EAF4F6"/>
          </w:tcPr>
          <w:p>
            <w:pPr>
              <w:spacing w:after="20" w:before="20"/>
            </w:pPr>
            <w:r/>
            <w:r>
              <w:rPr>
                <w:rFonts w:ascii="Aptos" w:hAnsi="Aptos"/>
                <w:b w:val="0"/>
                <w:color w:val="243746"/>
                <w:sz w:val="15"/>
              </w:rPr>
              <w:t>Prompt anatomy; role, task, context and constraints; zero-shot and few-shot prompting; examples; iterative prompt improvement.</w:t>
            </w:r>
          </w:p>
        </w:tc>
      </w:tr>
      <w:tr>
        <w:tc>
          <w:tcPr>
            <w:tcW w:type="dxa" w:w="792"/>
            <w:vAlign w:val="center"/>
            <w:shd w:fill="F6F9FA"/>
          </w:tcPr>
          <w:p>
            <w:pPr>
              <w:spacing w:after="20" w:before="20"/>
            </w:pPr>
            <w:r/>
            <w:r>
              <w:rPr>
                <w:rFonts w:ascii="Aptos" w:hAnsi="Aptos"/>
                <w:b/>
                <w:color w:val="10283D"/>
                <w:sz w:val="15"/>
              </w:rPr>
              <w:t>10</w:t>
            </w:r>
          </w:p>
        </w:tc>
        <w:tc>
          <w:tcPr>
            <w:tcW w:type="dxa" w:w="2880"/>
            <w:vAlign w:val="center"/>
            <w:shd w:fill="F6F9FA"/>
          </w:tcPr>
          <w:p>
            <w:pPr>
              <w:spacing w:after="20" w:before="20"/>
            </w:pPr>
            <w:r/>
            <w:r>
              <w:rPr>
                <w:rFonts w:ascii="Aptos" w:hAnsi="Aptos"/>
                <w:b w:val="0"/>
                <w:color w:val="243746"/>
                <w:sz w:val="15"/>
              </w:rPr>
              <w:t>Advanced Prompting and Multimodal AI</w:t>
            </w:r>
          </w:p>
        </w:tc>
        <w:tc>
          <w:tcPr>
            <w:tcW w:type="dxa" w:w="6048"/>
            <w:vAlign w:val="center"/>
            <w:shd w:fill="F6F9FA"/>
          </w:tcPr>
          <w:p>
            <w:pPr>
              <w:spacing w:after="20" w:before="20"/>
            </w:pPr>
            <w:r/>
            <w:r>
              <w:rPr>
                <w:rFonts w:ascii="Aptos" w:hAnsi="Aptos"/>
                <w:b w:val="0"/>
                <w:color w:val="243746"/>
                <w:sz w:val="15"/>
              </w:rPr>
              <w:t>Structured outputs; prompt patterns; image, audio and video use cases; voice interactions; AI-generated content.</w:t>
            </w:r>
          </w:p>
        </w:tc>
      </w:tr>
      <w:tr>
        <w:tc>
          <w:tcPr>
            <w:tcW w:type="dxa" w:w="792"/>
            <w:vAlign w:val="center"/>
            <w:shd w:fill="EAF4F6"/>
          </w:tcPr>
          <w:p>
            <w:pPr>
              <w:spacing w:after="20" w:before="20"/>
            </w:pPr>
            <w:r/>
            <w:r>
              <w:rPr>
                <w:rFonts w:ascii="Aptos" w:hAnsi="Aptos"/>
                <w:b/>
                <w:color w:val="10283D"/>
                <w:sz w:val="15"/>
              </w:rPr>
              <w:t>11</w:t>
            </w:r>
          </w:p>
        </w:tc>
        <w:tc>
          <w:tcPr>
            <w:tcW w:type="dxa" w:w="2880"/>
            <w:vAlign w:val="center"/>
            <w:shd w:fill="EAF4F6"/>
          </w:tcPr>
          <w:p>
            <w:pPr>
              <w:spacing w:after="20" w:before="20"/>
            </w:pPr>
            <w:r/>
            <w:r>
              <w:rPr>
                <w:rFonts w:ascii="Aptos" w:hAnsi="Aptos"/>
                <w:b w:val="0"/>
                <w:color w:val="243746"/>
                <w:sz w:val="15"/>
              </w:rPr>
              <w:t>Workplace AI Use Cases and Productivity</w:t>
            </w:r>
          </w:p>
        </w:tc>
        <w:tc>
          <w:tcPr>
            <w:tcW w:type="dxa" w:w="6048"/>
            <w:vAlign w:val="center"/>
            <w:shd w:fill="EAF4F6"/>
          </w:tcPr>
          <w:p>
            <w:pPr>
              <w:spacing w:after="20" w:before="20"/>
            </w:pPr>
            <w:r/>
            <w:r>
              <w:rPr>
                <w:rFonts w:ascii="Aptos" w:hAnsi="Aptos"/>
                <w:b w:val="0"/>
                <w:color w:val="243746"/>
                <w:sz w:val="15"/>
              </w:rPr>
              <w:t>Email drafting; project planning; presentations; SWOT; financial report analysis; process optimization; data analysis reporting; training content.</w:t>
            </w:r>
          </w:p>
        </w:tc>
      </w:tr>
      <w:tr>
        <w:tc>
          <w:tcPr>
            <w:tcW w:type="dxa" w:w="792"/>
            <w:vAlign w:val="center"/>
            <w:shd w:fill="F6F9FA"/>
          </w:tcPr>
          <w:p>
            <w:pPr>
              <w:spacing w:after="20" w:before="20"/>
            </w:pPr>
            <w:r/>
            <w:r>
              <w:rPr>
                <w:rFonts w:ascii="Aptos" w:hAnsi="Aptos"/>
                <w:b/>
                <w:color w:val="10283D"/>
                <w:sz w:val="15"/>
              </w:rPr>
              <w:t>12</w:t>
            </w:r>
          </w:p>
        </w:tc>
        <w:tc>
          <w:tcPr>
            <w:tcW w:type="dxa" w:w="2880"/>
            <w:vAlign w:val="center"/>
            <w:shd w:fill="F6F9FA"/>
          </w:tcPr>
          <w:p>
            <w:pPr>
              <w:spacing w:after="20" w:before="20"/>
            </w:pPr>
            <w:r/>
            <w:r>
              <w:rPr>
                <w:rFonts w:ascii="Aptos" w:hAnsi="Aptos"/>
                <w:b w:val="0"/>
                <w:color w:val="243746"/>
                <w:sz w:val="15"/>
              </w:rPr>
              <w:t>Responsible AI, Ethics and Fundamentals Project</w:t>
            </w:r>
          </w:p>
        </w:tc>
        <w:tc>
          <w:tcPr>
            <w:tcW w:type="dxa" w:w="6048"/>
            <w:vAlign w:val="center"/>
            <w:shd w:fill="F6F9FA"/>
          </w:tcPr>
          <w:p>
            <w:pPr>
              <w:spacing w:after="20" w:before="20"/>
            </w:pPr>
            <w:r/>
            <w:r>
              <w:rPr>
                <w:rFonts w:ascii="Aptos" w:hAnsi="Aptos"/>
                <w:b w:val="0"/>
                <w:color w:val="243746"/>
                <w:sz w:val="15"/>
              </w:rPr>
              <w:t>Hallucinations; data quality; privacy; copyright; bias; regulations overview; responsible use; mini-project and assessment.</w:t>
            </w:r>
          </w:p>
        </w:tc>
      </w:tr>
    </w:tbl>
    <w:p>
      <w:pPr>
        <w:spacing w:after="20"/>
      </w:pPr>
    </w:p>
    <w:p>
      <w:pPr>
        <w:pStyle w:val="Heading2"/>
      </w:pPr>
      <w:r>
        <w:t>Fundamentals practical activities</w:t>
      </w:r>
    </w:p>
    <w:p>
      <w:pPr>
        <w:pStyle w:val="ListBullet"/>
        <w:spacing w:after="20"/>
      </w:pPr>
      <w:r>
        <w:t>Build a reusable prompt library for emails, reports, meeting notes and project planning.</w:t>
      </w:r>
    </w:p>
    <w:p>
      <w:pPr>
        <w:pStyle w:val="ListBullet"/>
        <w:spacing w:after="20"/>
      </w:pPr>
      <w:r>
        <w:t>Complete the same task using ChatGPT, Gemini and Claude and compare the outputs.</w:t>
      </w:r>
    </w:p>
    <w:p>
      <w:pPr>
        <w:pStyle w:val="ListBullet"/>
        <w:spacing w:after="20"/>
      </w:pPr>
      <w:r>
        <w:t>Create a business SWOT analysis and a structured report using an AI assistant.</w:t>
      </w:r>
    </w:p>
    <w:p>
      <w:pPr>
        <w:pStyle w:val="ListBullet"/>
        <w:spacing w:after="20"/>
      </w:pPr>
      <w:r>
        <w:t>Generate an image or presentation concept using a Generative AI tool.</w:t>
      </w:r>
    </w:p>
    <w:p>
      <w:pPr>
        <w:pStyle w:val="ListBullet"/>
        <w:spacing w:after="20"/>
      </w:pPr>
      <w:r>
        <w:t>Complete a responsible-AI checklist for a workplace use case.</w:t>
      </w:r>
    </w:p>
    <w:p>
      <w:pPr>
        <w:pStyle w:val="Heading2"/>
      </w:pPr>
      <w:r>
        <w:t>Fundamentals learning outcomes</w:t>
      </w:r>
    </w:p>
    <w:p>
      <w:pPr>
        <w:pStyle w:val="ListBullet"/>
        <w:spacing w:after="20"/>
      </w:pPr>
      <w:r>
        <w:t>Explain AI, ML, Deep Learning, NLP, Generative AI and LLM concepts in accessible language.</w:t>
      </w:r>
    </w:p>
    <w:p>
      <w:pPr>
        <w:pStyle w:val="ListBullet"/>
        <w:spacing w:after="20"/>
      </w:pPr>
      <w:r>
        <w:t>Understand the basic architecture and capabilities of modern foundation models.</w:t>
      </w:r>
    </w:p>
    <w:p>
      <w:pPr>
        <w:pStyle w:val="ListBullet"/>
        <w:spacing w:after="20"/>
      </w:pPr>
      <w:r>
        <w:t>Use ChatGPT, Gemini, Claude and Copilot for common productivity tasks.</w:t>
      </w:r>
    </w:p>
    <w:p>
      <w:pPr>
        <w:pStyle w:val="ListBullet"/>
        <w:spacing w:after="20"/>
      </w:pPr>
      <w:r>
        <w:t>Write and refine prompts for reliable, useful outputs.</w:t>
      </w:r>
    </w:p>
    <w:p>
      <w:pPr>
        <w:pStyle w:val="ListBullet"/>
        <w:spacing w:after="20"/>
      </w:pPr>
      <w:r>
        <w:t>Recognize limitations, hallucinations, privacy risks and ethical considerations.</w:t>
      </w:r>
    </w:p>
    <w:p>
      <w:r>
        <w:br w:type="page"/>
      </w:r>
    </w:p>
    <w:p>
      <w:pPr>
        <w:pStyle w:val="Heading1"/>
      </w:pPr>
      <w:r>
        <w:t>4. Level 2 — Applied Generative AI Specialization: Intermediate</w:t>
      </w:r>
    </w:p>
    <w:tbl>
      <w:tblPr>
        <w:tblW w:type="auto" w:w="0"/>
        <w:tblLook w:firstColumn="1" w:firstRow="1" w:lastColumn="0" w:lastRow="0" w:noHBand="0" w:noVBand="1" w:val="04A0"/>
      </w:tblPr>
      <w:tblGrid>
        <w:gridCol w:w="10282"/>
      </w:tblGrid>
      <w:tr>
        <w:tc>
          <w:tcPr>
            <w:tcW w:type="dxa" w:w="10282"/>
            <w:shd w:fill="1B405A"/>
          </w:tcPr>
          <w:p>
            <w:pPr>
              <w:spacing w:after="60"/>
            </w:pPr>
            <w:r/>
            <w:r>
              <w:rPr>
                <w:b/>
                <w:color w:val="F4AE42"/>
                <w:sz w:val="20"/>
              </w:rPr>
              <w:t>20 CLASSES  |  APPLICATION BUILDER LEVEL</w:t>
              <w:br/>
            </w:r>
            <w:r>
              <w:rPr>
                <w:color w:val="FFFFFF"/>
                <w:sz w:val="17"/>
              </w:rPr>
              <w:t>Move from using AI tools to building LLM-powered applications that connect models, APIs, data and retrieval.</w:t>
            </w:r>
          </w:p>
        </w:tc>
      </w:tr>
    </w:tbl>
    <w:p>
      <w:pPr>
        <w:spacing w:after="20"/>
      </w:pPr>
    </w:p>
    <w:tbl>
      <w:tblPr>
        <w:tblW w:type="auto" w:w="0"/>
        <w:jc w:val="center"/>
        <w:tblLayout w:type="fixed"/>
        <w:tblLook w:firstColumn="1" w:firstRow="1" w:lastColumn="0" w:lastRow="0" w:noHBand="0" w:noVBand="1" w:val="04A0"/>
      </w:tblPr>
      <w:tblGrid>
        <w:gridCol w:w="3427"/>
        <w:gridCol w:w="3427"/>
        <w:gridCol w:w="3427"/>
      </w:tblGrid>
      <w:tr>
        <w:tc>
          <w:tcPr>
            <w:tcW w:type="dxa" w:w="792"/>
            <w:vAlign w:val="center"/>
            <w:shd w:fill="10283D"/>
          </w:tcPr>
          <w:p>
            <w:pPr>
              <w:spacing w:after="20" w:before="20"/>
            </w:pPr>
            <w:r/>
            <w:r>
              <w:rPr>
                <w:rFonts w:ascii="Aptos" w:hAnsi="Aptos"/>
                <w:b/>
                <w:color w:val="FFFFFF"/>
                <w:sz w:val="16"/>
              </w:rPr>
              <w:t>Class</w:t>
            </w:r>
          </w:p>
        </w:tc>
        <w:tc>
          <w:tcPr>
            <w:tcW w:type="dxa" w:w="2880"/>
            <w:vAlign w:val="center"/>
            <w:shd w:fill="10283D"/>
          </w:tcPr>
          <w:p>
            <w:pPr>
              <w:spacing w:after="20" w:before="20"/>
            </w:pPr>
            <w:r/>
            <w:r>
              <w:rPr>
                <w:rFonts w:ascii="Aptos" w:hAnsi="Aptos"/>
                <w:b/>
                <w:color w:val="FFFFFF"/>
                <w:sz w:val="16"/>
              </w:rPr>
              <w:t>Topic</w:t>
            </w:r>
          </w:p>
        </w:tc>
        <w:tc>
          <w:tcPr>
            <w:tcW w:type="dxa" w:w="6048"/>
            <w:vAlign w:val="center"/>
            <w:shd w:fill="10283D"/>
          </w:tcPr>
          <w:p>
            <w:pPr>
              <w:spacing w:after="20" w:before="20"/>
            </w:pPr>
            <w:r/>
            <w:r>
              <w:rPr>
                <w:rFonts w:ascii="Aptos" w:hAnsi="Aptos"/>
                <w:b/>
                <w:color w:val="FFFFFF"/>
                <w:sz w:val="16"/>
              </w:rPr>
              <w:t>Coverage</w:t>
            </w:r>
          </w:p>
        </w:tc>
      </w:tr>
      <w:tr>
        <w:tc>
          <w:tcPr>
            <w:tcW w:type="dxa" w:w="792"/>
            <w:vAlign w:val="center"/>
            <w:shd w:fill="EAF4F6"/>
          </w:tcPr>
          <w:p>
            <w:pPr>
              <w:spacing w:after="20" w:before="20"/>
            </w:pPr>
            <w:r/>
            <w:r>
              <w:rPr>
                <w:rFonts w:ascii="Aptos" w:hAnsi="Aptos"/>
                <w:b/>
                <w:color w:val="10283D"/>
                <w:sz w:val="14"/>
              </w:rPr>
              <w:t>1</w:t>
            </w:r>
          </w:p>
        </w:tc>
        <w:tc>
          <w:tcPr>
            <w:tcW w:type="dxa" w:w="2880"/>
            <w:vAlign w:val="center"/>
            <w:shd w:fill="EAF4F6"/>
          </w:tcPr>
          <w:p>
            <w:pPr>
              <w:spacing w:after="20" w:before="20"/>
            </w:pPr>
            <w:r/>
            <w:r>
              <w:rPr>
                <w:rFonts w:ascii="Aptos" w:hAnsi="Aptos"/>
                <w:b w:val="0"/>
                <w:color w:val="243746"/>
                <w:sz w:val="14"/>
              </w:rPr>
              <w:t>Python and Development Setup</w:t>
            </w:r>
          </w:p>
        </w:tc>
        <w:tc>
          <w:tcPr>
            <w:tcW w:type="dxa" w:w="6048"/>
            <w:vAlign w:val="center"/>
            <w:shd w:fill="EAF4F6"/>
          </w:tcPr>
          <w:p>
            <w:pPr>
              <w:spacing w:after="20" w:before="20"/>
            </w:pPr>
            <w:r/>
            <w:r>
              <w:rPr>
                <w:rFonts w:ascii="Aptos" w:hAnsi="Aptos"/>
                <w:b w:val="0"/>
                <w:color w:val="243746"/>
                <w:sz w:val="14"/>
              </w:rPr>
              <w:t>Python refresh; virtual environments; packages; notebooks; VS Code; Git; project structure.</w:t>
            </w:r>
          </w:p>
        </w:tc>
      </w:tr>
      <w:tr>
        <w:tc>
          <w:tcPr>
            <w:tcW w:type="dxa" w:w="792"/>
            <w:vAlign w:val="center"/>
            <w:shd w:fill="F6F9FA"/>
          </w:tcPr>
          <w:p>
            <w:pPr>
              <w:spacing w:after="20" w:before="20"/>
            </w:pPr>
            <w:r/>
            <w:r>
              <w:rPr>
                <w:rFonts w:ascii="Aptos" w:hAnsi="Aptos"/>
                <w:b/>
                <w:color w:val="10283D"/>
                <w:sz w:val="14"/>
              </w:rPr>
              <w:t>2</w:t>
            </w:r>
          </w:p>
        </w:tc>
        <w:tc>
          <w:tcPr>
            <w:tcW w:type="dxa" w:w="2880"/>
            <w:vAlign w:val="center"/>
            <w:shd w:fill="F6F9FA"/>
          </w:tcPr>
          <w:p>
            <w:pPr>
              <w:spacing w:after="20" w:before="20"/>
            </w:pPr>
            <w:r/>
            <w:r>
              <w:rPr>
                <w:rFonts w:ascii="Aptos" w:hAnsi="Aptos"/>
                <w:b w:val="0"/>
                <w:color w:val="243746"/>
                <w:sz w:val="14"/>
              </w:rPr>
              <w:t>Working with AI Model APIs</w:t>
            </w:r>
          </w:p>
        </w:tc>
        <w:tc>
          <w:tcPr>
            <w:tcW w:type="dxa" w:w="6048"/>
            <w:vAlign w:val="center"/>
            <w:shd w:fill="F6F9FA"/>
          </w:tcPr>
          <w:p>
            <w:pPr>
              <w:spacing w:after="20" w:before="20"/>
            </w:pPr>
            <w:r/>
            <w:r>
              <w:rPr>
                <w:rFonts w:ascii="Aptos" w:hAnsi="Aptos"/>
                <w:b w:val="0"/>
                <w:color w:val="243746"/>
                <w:sz w:val="14"/>
              </w:rPr>
              <w:t>API concepts; API keys; authentication; requests and responses; provider SDKs; secure secrets; rate limits.</w:t>
            </w:r>
          </w:p>
        </w:tc>
      </w:tr>
      <w:tr>
        <w:tc>
          <w:tcPr>
            <w:tcW w:type="dxa" w:w="792"/>
            <w:vAlign w:val="center"/>
            <w:shd w:fill="EAF4F6"/>
          </w:tcPr>
          <w:p>
            <w:pPr>
              <w:spacing w:after="20" w:before="20"/>
            </w:pPr>
            <w:r/>
            <w:r>
              <w:rPr>
                <w:rFonts w:ascii="Aptos" w:hAnsi="Aptos"/>
                <w:b/>
                <w:color w:val="10283D"/>
                <w:sz w:val="14"/>
              </w:rPr>
              <w:t>3</w:t>
            </w:r>
          </w:p>
        </w:tc>
        <w:tc>
          <w:tcPr>
            <w:tcW w:type="dxa" w:w="2880"/>
            <w:vAlign w:val="center"/>
            <w:shd w:fill="EAF4F6"/>
          </w:tcPr>
          <w:p>
            <w:pPr>
              <w:spacing w:after="20" w:before="20"/>
            </w:pPr>
            <w:r/>
            <w:r>
              <w:rPr>
                <w:rFonts w:ascii="Aptos" w:hAnsi="Aptos"/>
                <w:b w:val="0"/>
                <w:color w:val="243746"/>
                <w:sz w:val="14"/>
              </w:rPr>
              <w:t>OpenAI Platform and API</w:t>
            </w:r>
          </w:p>
        </w:tc>
        <w:tc>
          <w:tcPr>
            <w:tcW w:type="dxa" w:w="6048"/>
            <w:vAlign w:val="center"/>
            <w:shd w:fill="EAF4F6"/>
          </w:tcPr>
          <w:p>
            <w:pPr>
              <w:spacing w:after="20" w:before="20"/>
            </w:pPr>
            <w:r/>
            <w:r>
              <w:rPr>
                <w:rFonts w:ascii="Aptos" w:hAnsi="Aptos"/>
                <w:b w:val="0"/>
                <w:color w:val="243746"/>
                <w:sz w:val="14"/>
              </w:rPr>
              <w:t>Model selection; chat/completion patterns; system and user instructions; parameters; streaming; structured responses.</w:t>
            </w:r>
          </w:p>
        </w:tc>
      </w:tr>
      <w:tr>
        <w:tc>
          <w:tcPr>
            <w:tcW w:type="dxa" w:w="792"/>
            <w:vAlign w:val="center"/>
            <w:shd w:fill="F6F9FA"/>
          </w:tcPr>
          <w:p>
            <w:pPr>
              <w:spacing w:after="20" w:before="20"/>
            </w:pPr>
            <w:r/>
            <w:r>
              <w:rPr>
                <w:rFonts w:ascii="Aptos" w:hAnsi="Aptos"/>
                <w:b/>
                <w:color w:val="10283D"/>
                <w:sz w:val="14"/>
              </w:rPr>
              <w:t>4</w:t>
            </w:r>
          </w:p>
        </w:tc>
        <w:tc>
          <w:tcPr>
            <w:tcW w:type="dxa" w:w="2880"/>
            <w:vAlign w:val="center"/>
            <w:shd w:fill="F6F9FA"/>
          </w:tcPr>
          <w:p>
            <w:pPr>
              <w:spacing w:after="20" w:before="20"/>
            </w:pPr>
            <w:r/>
            <w:r>
              <w:rPr>
                <w:rFonts w:ascii="Aptos" w:hAnsi="Aptos"/>
                <w:b w:val="0"/>
                <w:color w:val="243746"/>
                <w:sz w:val="14"/>
              </w:rPr>
              <w:t>Gemini and Anthropic APIs</w:t>
            </w:r>
          </w:p>
        </w:tc>
        <w:tc>
          <w:tcPr>
            <w:tcW w:type="dxa" w:w="6048"/>
            <w:vAlign w:val="center"/>
            <w:shd w:fill="F6F9FA"/>
          </w:tcPr>
          <w:p>
            <w:pPr>
              <w:spacing w:after="20" w:before="20"/>
            </w:pPr>
            <w:r/>
            <w:r>
              <w:rPr>
                <w:rFonts w:ascii="Aptos" w:hAnsi="Aptos"/>
                <w:b w:val="0"/>
                <w:color w:val="243746"/>
                <w:sz w:val="14"/>
              </w:rPr>
              <w:t>Gemini API and Claude API concepts; provider integration; model comparison; portability and selection.</w:t>
            </w:r>
          </w:p>
        </w:tc>
      </w:tr>
      <w:tr>
        <w:tc>
          <w:tcPr>
            <w:tcW w:type="dxa" w:w="792"/>
            <w:vAlign w:val="center"/>
            <w:shd w:fill="EAF4F6"/>
          </w:tcPr>
          <w:p>
            <w:pPr>
              <w:spacing w:after="20" w:before="20"/>
            </w:pPr>
            <w:r/>
            <w:r>
              <w:rPr>
                <w:rFonts w:ascii="Aptos" w:hAnsi="Aptos"/>
                <w:b/>
                <w:color w:val="10283D"/>
                <w:sz w:val="14"/>
              </w:rPr>
              <w:t>5</w:t>
            </w:r>
          </w:p>
        </w:tc>
        <w:tc>
          <w:tcPr>
            <w:tcW w:type="dxa" w:w="2880"/>
            <w:vAlign w:val="center"/>
            <w:shd w:fill="EAF4F6"/>
          </w:tcPr>
          <w:p>
            <w:pPr>
              <w:spacing w:after="20" w:before="20"/>
            </w:pPr>
            <w:r/>
            <w:r>
              <w:rPr>
                <w:rFonts w:ascii="Aptos" w:hAnsi="Aptos"/>
                <w:b w:val="0"/>
                <w:color w:val="243746"/>
                <w:sz w:val="14"/>
              </w:rPr>
              <w:t>LLM Application Design</w:t>
            </w:r>
          </w:p>
        </w:tc>
        <w:tc>
          <w:tcPr>
            <w:tcW w:type="dxa" w:w="6048"/>
            <w:vAlign w:val="center"/>
            <w:shd w:fill="EAF4F6"/>
          </w:tcPr>
          <w:p>
            <w:pPr>
              <w:spacing w:after="20" w:before="20"/>
            </w:pPr>
            <w:r/>
            <w:r>
              <w:rPr>
                <w:rFonts w:ascii="Aptos" w:hAnsi="Aptos"/>
                <w:b w:val="0"/>
                <w:color w:val="243746"/>
                <w:sz w:val="14"/>
              </w:rPr>
              <w:t>Application flow; frontend/backend concepts; orchestration; prompt management; error handling; logging.</w:t>
            </w:r>
          </w:p>
        </w:tc>
      </w:tr>
      <w:tr>
        <w:tc>
          <w:tcPr>
            <w:tcW w:type="dxa" w:w="792"/>
            <w:vAlign w:val="center"/>
            <w:shd w:fill="F6F9FA"/>
          </w:tcPr>
          <w:p>
            <w:pPr>
              <w:spacing w:after="20" w:before="20"/>
            </w:pPr>
            <w:r/>
            <w:r>
              <w:rPr>
                <w:rFonts w:ascii="Aptos" w:hAnsi="Aptos"/>
                <w:b/>
                <w:color w:val="10283D"/>
                <w:sz w:val="14"/>
              </w:rPr>
              <w:t>6</w:t>
            </w:r>
          </w:p>
        </w:tc>
        <w:tc>
          <w:tcPr>
            <w:tcW w:type="dxa" w:w="2880"/>
            <w:vAlign w:val="center"/>
            <w:shd w:fill="F6F9FA"/>
          </w:tcPr>
          <w:p>
            <w:pPr>
              <w:spacing w:after="20" w:before="20"/>
            </w:pPr>
            <w:r/>
            <w:r>
              <w:rPr>
                <w:rFonts w:ascii="Aptos" w:hAnsi="Aptos"/>
                <w:b w:val="0"/>
                <w:color w:val="243746"/>
                <w:sz w:val="14"/>
              </w:rPr>
              <w:t>Prompt Templates and Output Parsing</w:t>
            </w:r>
          </w:p>
        </w:tc>
        <w:tc>
          <w:tcPr>
            <w:tcW w:type="dxa" w:w="6048"/>
            <w:vAlign w:val="center"/>
            <w:shd w:fill="F6F9FA"/>
          </w:tcPr>
          <w:p>
            <w:pPr>
              <w:spacing w:after="20" w:before="20"/>
            </w:pPr>
            <w:r/>
            <w:r>
              <w:rPr>
                <w:rFonts w:ascii="Aptos" w:hAnsi="Aptos"/>
                <w:b w:val="0"/>
                <w:color w:val="243746"/>
                <w:sz w:val="14"/>
              </w:rPr>
              <w:t>Reusable templates; variables; structured JSON output; schema validation; output parsers.</w:t>
            </w:r>
          </w:p>
        </w:tc>
      </w:tr>
      <w:tr>
        <w:tc>
          <w:tcPr>
            <w:tcW w:type="dxa" w:w="792"/>
            <w:vAlign w:val="center"/>
            <w:shd w:fill="EAF4F6"/>
          </w:tcPr>
          <w:p>
            <w:pPr>
              <w:spacing w:after="20" w:before="20"/>
            </w:pPr>
            <w:r/>
            <w:r>
              <w:rPr>
                <w:rFonts w:ascii="Aptos" w:hAnsi="Aptos"/>
                <w:b/>
                <w:color w:val="10283D"/>
                <w:sz w:val="14"/>
              </w:rPr>
              <w:t>7</w:t>
            </w:r>
          </w:p>
        </w:tc>
        <w:tc>
          <w:tcPr>
            <w:tcW w:type="dxa" w:w="2880"/>
            <w:vAlign w:val="center"/>
            <w:shd w:fill="EAF4F6"/>
          </w:tcPr>
          <w:p>
            <w:pPr>
              <w:spacing w:after="20" w:before="20"/>
            </w:pPr>
            <w:r/>
            <w:r>
              <w:rPr>
                <w:rFonts w:ascii="Aptos" w:hAnsi="Aptos"/>
                <w:b w:val="0"/>
                <w:color w:val="243746"/>
                <w:sz w:val="14"/>
              </w:rPr>
              <w:t>Embeddings and Semantic Search</w:t>
            </w:r>
          </w:p>
        </w:tc>
        <w:tc>
          <w:tcPr>
            <w:tcW w:type="dxa" w:w="6048"/>
            <w:vAlign w:val="center"/>
            <w:shd w:fill="EAF4F6"/>
          </w:tcPr>
          <w:p>
            <w:pPr>
              <w:spacing w:after="20" w:before="20"/>
            </w:pPr>
            <w:r/>
            <w:r>
              <w:rPr>
                <w:rFonts w:ascii="Aptos" w:hAnsi="Aptos"/>
                <w:b w:val="0"/>
                <w:color w:val="243746"/>
                <w:sz w:val="14"/>
              </w:rPr>
              <w:t>What embeddings represent; embedding models; similarity; cosine similarity; semantic search.</w:t>
            </w:r>
          </w:p>
        </w:tc>
      </w:tr>
      <w:tr>
        <w:tc>
          <w:tcPr>
            <w:tcW w:type="dxa" w:w="792"/>
            <w:vAlign w:val="center"/>
            <w:shd w:fill="F6F9FA"/>
          </w:tcPr>
          <w:p>
            <w:pPr>
              <w:spacing w:after="20" w:before="20"/>
            </w:pPr>
            <w:r/>
            <w:r>
              <w:rPr>
                <w:rFonts w:ascii="Aptos" w:hAnsi="Aptos"/>
                <w:b/>
                <w:color w:val="10283D"/>
                <w:sz w:val="14"/>
              </w:rPr>
              <w:t>8</w:t>
            </w:r>
          </w:p>
        </w:tc>
        <w:tc>
          <w:tcPr>
            <w:tcW w:type="dxa" w:w="2880"/>
            <w:vAlign w:val="center"/>
            <w:shd w:fill="F6F9FA"/>
          </w:tcPr>
          <w:p>
            <w:pPr>
              <w:spacing w:after="20" w:before="20"/>
            </w:pPr>
            <w:r/>
            <w:r>
              <w:rPr>
                <w:rFonts w:ascii="Aptos" w:hAnsi="Aptos"/>
                <w:b w:val="0"/>
                <w:color w:val="243746"/>
                <w:sz w:val="14"/>
              </w:rPr>
              <w:t>Vector Databases and FAISS</w:t>
            </w:r>
          </w:p>
        </w:tc>
        <w:tc>
          <w:tcPr>
            <w:tcW w:type="dxa" w:w="6048"/>
            <w:vAlign w:val="center"/>
            <w:shd w:fill="F6F9FA"/>
          </w:tcPr>
          <w:p>
            <w:pPr>
              <w:spacing w:after="20" w:before="20"/>
            </w:pPr>
            <w:r/>
            <w:r>
              <w:rPr>
                <w:rFonts w:ascii="Aptos" w:hAnsi="Aptos"/>
                <w:b w:val="0"/>
                <w:color w:val="243746"/>
                <w:sz w:val="14"/>
              </w:rPr>
              <w:t>Vector indexing; storing embeddings; FAISS; metadata; similarity retrieval; vector-store concepts.</w:t>
            </w:r>
          </w:p>
        </w:tc>
      </w:tr>
      <w:tr>
        <w:tc>
          <w:tcPr>
            <w:tcW w:type="dxa" w:w="792"/>
            <w:vAlign w:val="center"/>
            <w:shd w:fill="EAF4F6"/>
          </w:tcPr>
          <w:p>
            <w:pPr>
              <w:spacing w:after="20" w:before="20"/>
            </w:pPr>
            <w:r/>
            <w:r>
              <w:rPr>
                <w:rFonts w:ascii="Aptos" w:hAnsi="Aptos"/>
                <w:b/>
                <w:color w:val="10283D"/>
                <w:sz w:val="14"/>
              </w:rPr>
              <w:t>9</w:t>
            </w:r>
          </w:p>
        </w:tc>
        <w:tc>
          <w:tcPr>
            <w:tcW w:type="dxa" w:w="2880"/>
            <w:vAlign w:val="center"/>
            <w:shd w:fill="EAF4F6"/>
          </w:tcPr>
          <w:p>
            <w:pPr>
              <w:spacing w:after="20" w:before="20"/>
            </w:pPr>
            <w:r/>
            <w:r>
              <w:rPr>
                <w:rFonts w:ascii="Aptos" w:hAnsi="Aptos"/>
                <w:b w:val="0"/>
                <w:color w:val="243746"/>
                <w:sz w:val="14"/>
              </w:rPr>
              <w:t>LangChain Foundations</w:t>
            </w:r>
          </w:p>
        </w:tc>
        <w:tc>
          <w:tcPr>
            <w:tcW w:type="dxa" w:w="6048"/>
            <w:vAlign w:val="center"/>
            <w:shd w:fill="EAF4F6"/>
          </w:tcPr>
          <w:p>
            <w:pPr>
              <w:spacing w:after="20" w:before="20"/>
            </w:pPr>
            <w:r/>
            <w:r>
              <w:rPr>
                <w:rFonts w:ascii="Aptos" w:hAnsi="Aptos"/>
                <w:b w:val="0"/>
                <w:color w:val="243746"/>
                <w:sz w:val="14"/>
              </w:rPr>
              <w:t>LangChain architecture; model wrappers; prompt templates; chains; runnable workflows; integrations.</w:t>
            </w:r>
          </w:p>
        </w:tc>
      </w:tr>
      <w:tr>
        <w:tc>
          <w:tcPr>
            <w:tcW w:type="dxa" w:w="792"/>
            <w:vAlign w:val="center"/>
            <w:shd w:fill="F6F9FA"/>
          </w:tcPr>
          <w:p>
            <w:pPr>
              <w:spacing w:after="20" w:before="20"/>
            </w:pPr>
            <w:r/>
            <w:r>
              <w:rPr>
                <w:rFonts w:ascii="Aptos" w:hAnsi="Aptos"/>
                <w:b/>
                <w:color w:val="10283D"/>
                <w:sz w:val="14"/>
              </w:rPr>
              <w:t>10</w:t>
            </w:r>
          </w:p>
        </w:tc>
        <w:tc>
          <w:tcPr>
            <w:tcW w:type="dxa" w:w="2880"/>
            <w:vAlign w:val="center"/>
            <w:shd w:fill="F6F9FA"/>
          </w:tcPr>
          <w:p>
            <w:pPr>
              <w:spacing w:after="20" w:before="20"/>
            </w:pPr>
            <w:r/>
            <w:r>
              <w:rPr>
                <w:rFonts w:ascii="Aptos" w:hAnsi="Aptos"/>
                <w:b w:val="0"/>
                <w:color w:val="243746"/>
                <w:sz w:val="14"/>
              </w:rPr>
              <w:t>LangChain Document Processing</w:t>
            </w:r>
          </w:p>
        </w:tc>
        <w:tc>
          <w:tcPr>
            <w:tcW w:type="dxa" w:w="6048"/>
            <w:vAlign w:val="center"/>
            <w:shd w:fill="F6F9FA"/>
          </w:tcPr>
          <w:p>
            <w:pPr>
              <w:spacing w:after="20" w:before="20"/>
            </w:pPr>
            <w:r/>
            <w:r>
              <w:rPr>
                <w:rFonts w:ascii="Aptos" w:hAnsi="Aptos"/>
                <w:b w:val="0"/>
                <w:color w:val="243746"/>
                <w:sz w:val="14"/>
              </w:rPr>
              <w:t>Document loaders; PDF and text ingestion; text splitting; chunk size and overlap; metadata handling.</w:t>
            </w:r>
          </w:p>
        </w:tc>
      </w:tr>
      <w:tr>
        <w:tc>
          <w:tcPr>
            <w:tcW w:type="dxa" w:w="792"/>
            <w:vAlign w:val="center"/>
            <w:shd w:fill="EAF4F6"/>
          </w:tcPr>
          <w:p>
            <w:pPr>
              <w:spacing w:after="20" w:before="20"/>
            </w:pPr>
            <w:r/>
            <w:r>
              <w:rPr>
                <w:rFonts w:ascii="Aptos" w:hAnsi="Aptos"/>
                <w:b/>
                <w:color w:val="10283D"/>
                <w:sz w:val="14"/>
              </w:rPr>
              <w:t>11</w:t>
            </w:r>
          </w:p>
        </w:tc>
        <w:tc>
          <w:tcPr>
            <w:tcW w:type="dxa" w:w="2880"/>
            <w:vAlign w:val="center"/>
            <w:shd w:fill="EAF4F6"/>
          </w:tcPr>
          <w:p>
            <w:pPr>
              <w:spacing w:after="20" w:before="20"/>
            </w:pPr>
            <w:r/>
            <w:r>
              <w:rPr>
                <w:rFonts w:ascii="Aptos" w:hAnsi="Aptos"/>
                <w:b w:val="0"/>
                <w:color w:val="243746"/>
                <w:sz w:val="14"/>
              </w:rPr>
              <w:t>Retrieval-Augmented Generation (RAG)</w:t>
            </w:r>
          </w:p>
        </w:tc>
        <w:tc>
          <w:tcPr>
            <w:tcW w:type="dxa" w:w="6048"/>
            <w:vAlign w:val="center"/>
            <w:shd w:fill="EAF4F6"/>
          </w:tcPr>
          <w:p>
            <w:pPr>
              <w:spacing w:after="20" w:before="20"/>
            </w:pPr>
            <w:r/>
            <w:r>
              <w:rPr>
                <w:rFonts w:ascii="Aptos" w:hAnsi="Aptos"/>
                <w:b w:val="0"/>
                <w:color w:val="243746"/>
                <w:sz w:val="14"/>
              </w:rPr>
              <w:t>RAG architecture; ingestion pipeline; embeddings; retrieval; context construction; grounded generation.</w:t>
            </w:r>
          </w:p>
        </w:tc>
      </w:tr>
      <w:tr>
        <w:tc>
          <w:tcPr>
            <w:tcW w:type="dxa" w:w="792"/>
            <w:vAlign w:val="center"/>
            <w:shd w:fill="F6F9FA"/>
          </w:tcPr>
          <w:p>
            <w:pPr>
              <w:spacing w:after="20" w:before="20"/>
            </w:pPr>
            <w:r/>
            <w:r>
              <w:rPr>
                <w:rFonts w:ascii="Aptos" w:hAnsi="Aptos"/>
                <w:b/>
                <w:color w:val="10283D"/>
                <w:sz w:val="14"/>
              </w:rPr>
              <w:t>12</w:t>
            </w:r>
          </w:p>
        </w:tc>
        <w:tc>
          <w:tcPr>
            <w:tcW w:type="dxa" w:w="2880"/>
            <w:vAlign w:val="center"/>
            <w:shd w:fill="F6F9FA"/>
          </w:tcPr>
          <w:p>
            <w:pPr>
              <w:spacing w:after="20" w:before="20"/>
            </w:pPr>
            <w:r/>
            <w:r>
              <w:rPr>
                <w:rFonts w:ascii="Aptos" w:hAnsi="Aptos"/>
                <w:b w:val="0"/>
                <w:color w:val="243746"/>
                <w:sz w:val="14"/>
              </w:rPr>
              <w:t>Building a Document Q&amp;A Assistant</w:t>
            </w:r>
          </w:p>
        </w:tc>
        <w:tc>
          <w:tcPr>
            <w:tcW w:type="dxa" w:w="6048"/>
            <w:vAlign w:val="center"/>
            <w:shd w:fill="F6F9FA"/>
          </w:tcPr>
          <w:p>
            <w:pPr>
              <w:spacing w:after="20" w:before="20"/>
            </w:pPr>
            <w:r/>
            <w:r>
              <w:rPr>
                <w:rFonts w:ascii="Aptos" w:hAnsi="Aptos"/>
                <w:b w:val="0"/>
                <w:color w:val="243746"/>
                <w:sz w:val="14"/>
              </w:rPr>
              <w:t>Build a question-answering system over PDFs, manuals, policies or business documents.</w:t>
            </w:r>
          </w:p>
        </w:tc>
      </w:tr>
      <w:tr>
        <w:tc>
          <w:tcPr>
            <w:tcW w:type="dxa" w:w="792"/>
            <w:vAlign w:val="center"/>
            <w:shd w:fill="EAF4F6"/>
          </w:tcPr>
          <w:p>
            <w:pPr>
              <w:spacing w:after="20" w:before="20"/>
            </w:pPr>
            <w:r/>
            <w:r>
              <w:rPr>
                <w:rFonts w:ascii="Aptos" w:hAnsi="Aptos"/>
                <w:b/>
                <w:color w:val="10283D"/>
                <w:sz w:val="14"/>
              </w:rPr>
              <w:t>13</w:t>
            </w:r>
          </w:p>
        </w:tc>
        <w:tc>
          <w:tcPr>
            <w:tcW w:type="dxa" w:w="2880"/>
            <w:vAlign w:val="center"/>
            <w:shd w:fill="EAF4F6"/>
          </w:tcPr>
          <w:p>
            <w:pPr>
              <w:spacing w:after="20" w:before="20"/>
            </w:pPr>
            <w:r/>
            <w:r>
              <w:rPr>
                <w:rFonts w:ascii="Aptos" w:hAnsi="Aptos"/>
                <w:b w:val="0"/>
                <w:color w:val="243746"/>
                <w:sz w:val="14"/>
              </w:rPr>
              <w:t>RAG Quality and Evaluation</w:t>
            </w:r>
          </w:p>
        </w:tc>
        <w:tc>
          <w:tcPr>
            <w:tcW w:type="dxa" w:w="6048"/>
            <w:vAlign w:val="center"/>
            <w:shd w:fill="EAF4F6"/>
          </w:tcPr>
          <w:p>
            <w:pPr>
              <w:spacing w:after="20" w:before="20"/>
            </w:pPr>
            <w:r/>
            <w:r>
              <w:rPr>
                <w:rFonts w:ascii="Aptos" w:hAnsi="Aptos"/>
                <w:b w:val="0"/>
                <w:color w:val="243746"/>
                <w:sz w:val="14"/>
              </w:rPr>
              <w:t>Retrieval relevance; answer faithfulness; citations; hallucination reduction; test datasets; evaluation methods.</w:t>
            </w:r>
          </w:p>
        </w:tc>
      </w:tr>
      <w:tr>
        <w:tc>
          <w:tcPr>
            <w:tcW w:type="dxa" w:w="792"/>
            <w:vAlign w:val="center"/>
            <w:shd w:fill="F6F9FA"/>
          </w:tcPr>
          <w:p>
            <w:pPr>
              <w:spacing w:after="20" w:before="20"/>
            </w:pPr>
            <w:r/>
            <w:r>
              <w:rPr>
                <w:rFonts w:ascii="Aptos" w:hAnsi="Aptos"/>
                <w:b/>
                <w:color w:val="10283D"/>
                <w:sz w:val="14"/>
              </w:rPr>
              <w:t>14</w:t>
            </w:r>
          </w:p>
        </w:tc>
        <w:tc>
          <w:tcPr>
            <w:tcW w:type="dxa" w:w="2880"/>
            <w:vAlign w:val="center"/>
            <w:shd w:fill="F6F9FA"/>
          </w:tcPr>
          <w:p>
            <w:pPr>
              <w:spacing w:after="20" w:before="20"/>
            </w:pPr>
            <w:r/>
            <w:r>
              <w:rPr>
                <w:rFonts w:ascii="Aptos" w:hAnsi="Aptos"/>
                <w:b w:val="0"/>
                <w:color w:val="243746"/>
                <w:sz w:val="14"/>
              </w:rPr>
              <w:t>Conversation Memory and Context</w:t>
            </w:r>
          </w:p>
        </w:tc>
        <w:tc>
          <w:tcPr>
            <w:tcW w:type="dxa" w:w="6048"/>
            <w:vAlign w:val="center"/>
            <w:shd w:fill="F6F9FA"/>
          </w:tcPr>
          <w:p>
            <w:pPr>
              <w:spacing w:after="20" w:before="20"/>
            </w:pPr>
            <w:r/>
            <w:r>
              <w:rPr>
                <w:rFonts w:ascii="Aptos" w:hAnsi="Aptos"/>
                <w:b w:val="0"/>
                <w:color w:val="243746"/>
                <w:sz w:val="14"/>
              </w:rPr>
              <w:t>Conversation history; session context; memory patterns; summarization; managing context windows.</w:t>
            </w:r>
          </w:p>
        </w:tc>
      </w:tr>
      <w:tr>
        <w:tc>
          <w:tcPr>
            <w:tcW w:type="dxa" w:w="792"/>
            <w:vAlign w:val="center"/>
            <w:shd w:fill="EAF4F6"/>
          </w:tcPr>
          <w:p>
            <w:pPr>
              <w:spacing w:after="20" w:before="20"/>
            </w:pPr>
            <w:r/>
            <w:r>
              <w:rPr>
                <w:rFonts w:ascii="Aptos" w:hAnsi="Aptos"/>
                <w:b/>
                <w:color w:val="10283D"/>
                <w:sz w:val="14"/>
              </w:rPr>
              <w:t>15</w:t>
            </w:r>
          </w:p>
        </w:tc>
        <w:tc>
          <w:tcPr>
            <w:tcW w:type="dxa" w:w="2880"/>
            <w:vAlign w:val="center"/>
            <w:shd w:fill="EAF4F6"/>
          </w:tcPr>
          <w:p>
            <w:pPr>
              <w:spacing w:after="20" w:before="20"/>
            </w:pPr>
            <w:r/>
            <w:r>
              <w:rPr>
                <w:rFonts w:ascii="Aptos" w:hAnsi="Aptos"/>
                <w:b w:val="0"/>
                <w:color w:val="243746"/>
                <w:sz w:val="14"/>
              </w:rPr>
              <w:t>Advanced RAG Patterns</w:t>
            </w:r>
          </w:p>
        </w:tc>
        <w:tc>
          <w:tcPr>
            <w:tcW w:type="dxa" w:w="6048"/>
            <w:vAlign w:val="center"/>
            <w:shd w:fill="EAF4F6"/>
          </w:tcPr>
          <w:p>
            <w:pPr>
              <w:spacing w:after="20" w:before="20"/>
            </w:pPr>
            <w:r/>
            <w:r>
              <w:rPr>
                <w:rFonts w:ascii="Aptos" w:hAnsi="Aptos"/>
                <w:b w:val="0"/>
                <w:color w:val="243746"/>
                <w:sz w:val="14"/>
              </w:rPr>
              <w:t>Metadata filtering; hybrid retrieval concepts; query transformation; reranking concepts; multi-document retrieval.</w:t>
            </w:r>
          </w:p>
        </w:tc>
      </w:tr>
      <w:tr>
        <w:tc>
          <w:tcPr>
            <w:tcW w:type="dxa" w:w="792"/>
            <w:vAlign w:val="center"/>
            <w:shd w:fill="F6F9FA"/>
          </w:tcPr>
          <w:p>
            <w:pPr>
              <w:spacing w:after="20" w:before="20"/>
            </w:pPr>
            <w:r/>
            <w:r>
              <w:rPr>
                <w:rFonts w:ascii="Aptos" w:hAnsi="Aptos"/>
                <w:b/>
                <w:color w:val="10283D"/>
                <w:sz w:val="14"/>
              </w:rPr>
              <w:t>16</w:t>
            </w:r>
          </w:p>
        </w:tc>
        <w:tc>
          <w:tcPr>
            <w:tcW w:type="dxa" w:w="2880"/>
            <w:vAlign w:val="center"/>
            <w:shd w:fill="F6F9FA"/>
          </w:tcPr>
          <w:p>
            <w:pPr>
              <w:spacing w:after="20" w:before="20"/>
            </w:pPr>
            <w:r/>
            <w:r>
              <w:rPr>
                <w:rFonts w:ascii="Aptos" w:hAnsi="Aptos"/>
                <w:b w:val="0"/>
                <w:color w:val="243746"/>
                <w:sz w:val="14"/>
              </w:rPr>
              <w:t>Fine-Tuning and Model Adaptation</w:t>
            </w:r>
          </w:p>
        </w:tc>
        <w:tc>
          <w:tcPr>
            <w:tcW w:type="dxa" w:w="6048"/>
            <w:vAlign w:val="center"/>
            <w:shd w:fill="F6F9FA"/>
          </w:tcPr>
          <w:p>
            <w:pPr>
              <w:spacing w:after="20" w:before="20"/>
            </w:pPr>
            <w:r/>
            <w:r>
              <w:rPr>
                <w:rFonts w:ascii="Aptos" w:hAnsi="Aptos"/>
                <w:b w:val="0"/>
                <w:color w:val="243746"/>
                <w:sz w:val="14"/>
              </w:rPr>
              <w:t>Fine-tuning concepts; when to use prompting, RAG or fine-tuning; training data preparation; evaluation and limitations.</w:t>
            </w:r>
          </w:p>
        </w:tc>
      </w:tr>
      <w:tr>
        <w:tc>
          <w:tcPr>
            <w:tcW w:type="dxa" w:w="792"/>
            <w:vAlign w:val="center"/>
            <w:shd w:fill="EAF4F6"/>
          </w:tcPr>
          <w:p>
            <w:pPr>
              <w:spacing w:after="20" w:before="20"/>
            </w:pPr>
            <w:r/>
            <w:r>
              <w:rPr>
                <w:rFonts w:ascii="Aptos" w:hAnsi="Aptos"/>
                <w:b/>
                <w:color w:val="10283D"/>
                <w:sz w:val="14"/>
              </w:rPr>
              <w:t>17</w:t>
            </w:r>
          </w:p>
        </w:tc>
        <w:tc>
          <w:tcPr>
            <w:tcW w:type="dxa" w:w="2880"/>
            <w:vAlign w:val="center"/>
            <w:shd w:fill="EAF4F6"/>
          </w:tcPr>
          <w:p>
            <w:pPr>
              <w:spacing w:after="20" w:before="20"/>
            </w:pPr>
            <w:r/>
            <w:r>
              <w:rPr>
                <w:rFonts w:ascii="Aptos" w:hAnsi="Aptos"/>
                <w:b w:val="0"/>
                <w:color w:val="243746"/>
                <w:sz w:val="14"/>
              </w:rPr>
              <w:t>LangGraph Foundations</w:t>
            </w:r>
          </w:p>
        </w:tc>
        <w:tc>
          <w:tcPr>
            <w:tcW w:type="dxa" w:w="6048"/>
            <w:vAlign w:val="center"/>
            <w:shd w:fill="EAF4F6"/>
          </w:tcPr>
          <w:p>
            <w:pPr>
              <w:spacing w:after="20" w:before="20"/>
            </w:pPr>
            <w:r/>
            <w:r>
              <w:rPr>
                <w:rFonts w:ascii="Aptos" w:hAnsi="Aptos"/>
                <w:b w:val="0"/>
                <w:color w:val="243746"/>
                <w:sz w:val="14"/>
              </w:rPr>
              <w:t>Graph-based workflows; state; nodes; edges; conditional routing; checkpoints; controlled execution.</w:t>
            </w:r>
          </w:p>
        </w:tc>
      </w:tr>
      <w:tr>
        <w:tc>
          <w:tcPr>
            <w:tcW w:type="dxa" w:w="792"/>
            <w:vAlign w:val="center"/>
            <w:shd w:fill="F6F9FA"/>
          </w:tcPr>
          <w:p>
            <w:pPr>
              <w:spacing w:after="20" w:before="20"/>
            </w:pPr>
            <w:r/>
            <w:r>
              <w:rPr>
                <w:rFonts w:ascii="Aptos" w:hAnsi="Aptos"/>
                <w:b/>
                <w:color w:val="10283D"/>
                <w:sz w:val="14"/>
              </w:rPr>
              <w:t>18</w:t>
            </w:r>
          </w:p>
        </w:tc>
        <w:tc>
          <w:tcPr>
            <w:tcW w:type="dxa" w:w="2880"/>
            <w:vAlign w:val="center"/>
            <w:shd w:fill="F6F9FA"/>
          </w:tcPr>
          <w:p>
            <w:pPr>
              <w:spacing w:after="20" w:before="20"/>
            </w:pPr>
            <w:r/>
            <w:r>
              <w:rPr>
                <w:rFonts w:ascii="Aptos" w:hAnsi="Aptos"/>
                <w:b w:val="0"/>
                <w:color w:val="243746"/>
                <w:sz w:val="14"/>
              </w:rPr>
              <w:t>Tools and Function Calling</w:t>
            </w:r>
          </w:p>
        </w:tc>
        <w:tc>
          <w:tcPr>
            <w:tcW w:type="dxa" w:w="6048"/>
            <w:vAlign w:val="center"/>
            <w:shd w:fill="F6F9FA"/>
          </w:tcPr>
          <w:p>
            <w:pPr>
              <w:spacing w:after="20" w:before="20"/>
            </w:pPr>
            <w:r/>
            <w:r>
              <w:rPr>
                <w:rFonts w:ascii="Aptos" w:hAnsi="Aptos"/>
                <w:b w:val="0"/>
                <w:color w:val="243746"/>
                <w:sz w:val="14"/>
              </w:rPr>
              <w:t>Tool definitions; function calling; connecting external services; validation; approval and error handling.</w:t>
            </w:r>
          </w:p>
        </w:tc>
      </w:tr>
      <w:tr>
        <w:tc>
          <w:tcPr>
            <w:tcW w:type="dxa" w:w="792"/>
            <w:vAlign w:val="center"/>
            <w:shd w:fill="EAF4F6"/>
          </w:tcPr>
          <w:p>
            <w:pPr>
              <w:spacing w:after="20" w:before="20"/>
            </w:pPr>
            <w:r/>
            <w:r>
              <w:rPr>
                <w:rFonts w:ascii="Aptos" w:hAnsi="Aptos"/>
                <w:b/>
                <w:color w:val="10283D"/>
                <w:sz w:val="14"/>
              </w:rPr>
              <w:t>19</w:t>
            </w:r>
          </w:p>
        </w:tc>
        <w:tc>
          <w:tcPr>
            <w:tcW w:type="dxa" w:w="2880"/>
            <w:vAlign w:val="center"/>
            <w:shd w:fill="EAF4F6"/>
          </w:tcPr>
          <w:p>
            <w:pPr>
              <w:spacing w:after="20" w:before="20"/>
            </w:pPr>
            <w:r/>
            <w:r>
              <w:rPr>
                <w:rFonts w:ascii="Aptos" w:hAnsi="Aptos"/>
                <w:b w:val="0"/>
                <w:color w:val="243746"/>
                <w:sz w:val="14"/>
              </w:rPr>
              <w:t>Application Integration and Deployment Basics</w:t>
            </w:r>
          </w:p>
        </w:tc>
        <w:tc>
          <w:tcPr>
            <w:tcW w:type="dxa" w:w="6048"/>
            <w:vAlign w:val="center"/>
            <w:shd w:fill="EAF4F6"/>
          </w:tcPr>
          <w:p>
            <w:pPr>
              <w:spacing w:after="20" w:before="20"/>
            </w:pPr>
            <w:r/>
            <w:r>
              <w:rPr>
                <w:rFonts w:ascii="Aptos" w:hAnsi="Aptos"/>
                <w:b w:val="0"/>
                <w:color w:val="243746"/>
                <w:sz w:val="14"/>
              </w:rPr>
              <w:t>Expose an AI workflow through an application/API; configuration; authentication basics; deployment concepts.</w:t>
            </w:r>
          </w:p>
        </w:tc>
      </w:tr>
      <w:tr>
        <w:tc>
          <w:tcPr>
            <w:tcW w:type="dxa" w:w="792"/>
            <w:vAlign w:val="center"/>
            <w:shd w:fill="F6F9FA"/>
          </w:tcPr>
          <w:p>
            <w:pPr>
              <w:spacing w:after="20" w:before="20"/>
            </w:pPr>
            <w:r/>
            <w:r>
              <w:rPr>
                <w:rFonts w:ascii="Aptos" w:hAnsi="Aptos"/>
                <w:b/>
                <w:color w:val="10283D"/>
                <w:sz w:val="14"/>
              </w:rPr>
              <w:t>20</w:t>
            </w:r>
          </w:p>
        </w:tc>
        <w:tc>
          <w:tcPr>
            <w:tcW w:type="dxa" w:w="2880"/>
            <w:vAlign w:val="center"/>
            <w:shd w:fill="F6F9FA"/>
          </w:tcPr>
          <w:p>
            <w:pPr>
              <w:spacing w:after="20" w:before="20"/>
            </w:pPr>
            <w:r/>
            <w:r>
              <w:rPr>
                <w:rFonts w:ascii="Aptos" w:hAnsi="Aptos"/>
                <w:b w:val="0"/>
                <w:color w:val="243746"/>
                <w:sz w:val="14"/>
              </w:rPr>
              <w:t>Intermediate Capstone and Assessment</w:t>
            </w:r>
          </w:p>
        </w:tc>
        <w:tc>
          <w:tcPr>
            <w:tcW w:type="dxa" w:w="6048"/>
            <w:vAlign w:val="center"/>
            <w:shd w:fill="F6F9FA"/>
          </w:tcPr>
          <w:p>
            <w:pPr>
              <w:spacing w:after="20" w:before="20"/>
            </w:pPr>
            <w:r/>
            <w:r>
              <w:rPr>
                <w:rFonts w:ascii="Aptos" w:hAnsi="Aptos"/>
                <w:b w:val="0"/>
                <w:color w:val="243746"/>
                <w:sz w:val="14"/>
              </w:rPr>
              <w:t>Build and present a complete LLM application such as a RAG assistant, support assistant or domain knowledge bot.</w:t>
            </w:r>
          </w:p>
        </w:tc>
      </w:tr>
    </w:tbl>
    <w:p>
      <w:pPr>
        <w:spacing w:after="20"/>
      </w:pPr>
    </w:p>
    <w:p>
      <w:pPr>
        <w:pStyle w:val="Heading2"/>
      </w:pPr>
      <w:r>
        <w:t>Intermediate tools and technologies</w:t>
      </w:r>
    </w:p>
    <w:tbl>
      <w:tblPr>
        <w:tblW w:type="auto" w:w="0"/>
        <w:jc w:val="center"/>
        <w:tblLayout w:type="fixed"/>
        <w:tblLook w:firstColumn="1" w:firstRow="1" w:lastColumn="0" w:lastRow="0" w:noHBand="0" w:noVBand="1" w:val="04A0"/>
      </w:tblPr>
      <w:tblGrid>
        <w:gridCol w:w="5141"/>
        <w:gridCol w:w="5141"/>
      </w:tblGrid>
      <w:tr>
        <w:tc>
          <w:tcPr>
            <w:tcW w:type="dxa" w:w="2160"/>
            <w:vAlign w:val="center"/>
            <w:shd w:fill="10283D"/>
          </w:tcPr>
          <w:p>
            <w:pPr>
              <w:spacing w:after="20" w:before="20"/>
            </w:pPr>
            <w:r/>
            <w:r>
              <w:rPr>
                <w:rFonts w:ascii="Aptos" w:hAnsi="Aptos"/>
                <w:b/>
                <w:color w:val="FFFFFF"/>
                <w:sz w:val="16"/>
              </w:rPr>
              <w:t>Layer</w:t>
            </w:r>
          </w:p>
        </w:tc>
        <w:tc>
          <w:tcPr>
            <w:tcW w:type="dxa" w:w="7056"/>
            <w:vAlign w:val="center"/>
            <w:shd w:fill="10283D"/>
          </w:tcPr>
          <w:p>
            <w:pPr>
              <w:spacing w:after="20" w:before="20"/>
            </w:pPr>
            <w:r/>
            <w:r>
              <w:rPr>
                <w:rFonts w:ascii="Aptos" w:hAnsi="Aptos"/>
                <w:b/>
                <w:color w:val="FFFFFF"/>
                <w:sz w:val="16"/>
              </w:rPr>
              <w:t>Tools / concepts</w:t>
            </w:r>
          </w:p>
        </w:tc>
      </w:tr>
      <w:tr>
        <w:tc>
          <w:tcPr>
            <w:tcW w:type="dxa" w:w="2160"/>
            <w:vAlign w:val="center"/>
            <w:shd w:fill="EAF4F6"/>
          </w:tcPr>
          <w:p>
            <w:pPr>
              <w:spacing w:after="20" w:before="20"/>
            </w:pPr>
            <w:r/>
            <w:r>
              <w:rPr>
                <w:rFonts w:ascii="Aptos" w:hAnsi="Aptos"/>
                <w:b/>
                <w:color w:val="10283D"/>
                <w:sz w:val="16"/>
              </w:rPr>
              <w:t>Programming</w:t>
            </w:r>
          </w:p>
        </w:tc>
        <w:tc>
          <w:tcPr>
            <w:tcW w:type="dxa" w:w="7056"/>
            <w:vAlign w:val="center"/>
            <w:shd w:fill="EAF4F6"/>
          </w:tcPr>
          <w:p>
            <w:pPr>
              <w:spacing w:after="20" w:before="20"/>
            </w:pPr>
            <w:r/>
            <w:r>
              <w:rPr>
                <w:rFonts w:ascii="Aptos" w:hAnsi="Aptos"/>
                <w:b w:val="0"/>
                <w:color w:val="243746"/>
                <w:sz w:val="16"/>
              </w:rPr>
              <w:t>Python, Jupyter Notebook, VS Code, Git</w:t>
            </w:r>
          </w:p>
        </w:tc>
      </w:tr>
      <w:tr>
        <w:tc>
          <w:tcPr>
            <w:tcW w:type="dxa" w:w="2160"/>
            <w:vAlign w:val="center"/>
            <w:shd w:fill="F6F9FA"/>
          </w:tcPr>
          <w:p>
            <w:pPr>
              <w:spacing w:after="20" w:before="20"/>
            </w:pPr>
            <w:r/>
            <w:r>
              <w:rPr>
                <w:rFonts w:ascii="Aptos" w:hAnsi="Aptos"/>
                <w:b/>
                <w:color w:val="10283D"/>
                <w:sz w:val="16"/>
              </w:rPr>
              <w:t>Model providers</w:t>
            </w:r>
          </w:p>
        </w:tc>
        <w:tc>
          <w:tcPr>
            <w:tcW w:type="dxa" w:w="7056"/>
            <w:vAlign w:val="center"/>
            <w:shd w:fill="F6F9FA"/>
          </w:tcPr>
          <w:p>
            <w:pPr>
              <w:spacing w:after="20" w:before="20"/>
            </w:pPr>
            <w:r/>
            <w:r>
              <w:rPr>
                <w:rFonts w:ascii="Aptos" w:hAnsi="Aptos"/>
                <w:b w:val="0"/>
                <w:color w:val="243746"/>
                <w:sz w:val="16"/>
              </w:rPr>
              <w:t>OpenAI, Google Gemini, Anthropic Claude; Hugging Face and open models where appropriate</w:t>
            </w:r>
          </w:p>
        </w:tc>
      </w:tr>
      <w:tr>
        <w:tc>
          <w:tcPr>
            <w:tcW w:type="dxa" w:w="2160"/>
            <w:vAlign w:val="center"/>
            <w:shd w:fill="EAF4F6"/>
          </w:tcPr>
          <w:p>
            <w:pPr>
              <w:spacing w:after="20" w:before="20"/>
            </w:pPr>
            <w:r/>
            <w:r>
              <w:rPr>
                <w:rFonts w:ascii="Aptos" w:hAnsi="Aptos"/>
                <w:b/>
                <w:color w:val="10283D"/>
                <w:sz w:val="16"/>
              </w:rPr>
              <w:t>Frameworks</w:t>
            </w:r>
          </w:p>
        </w:tc>
        <w:tc>
          <w:tcPr>
            <w:tcW w:type="dxa" w:w="7056"/>
            <w:vAlign w:val="center"/>
            <w:shd w:fill="EAF4F6"/>
          </w:tcPr>
          <w:p>
            <w:pPr>
              <w:spacing w:after="20" w:before="20"/>
            </w:pPr>
            <w:r/>
            <w:r>
              <w:rPr>
                <w:rFonts w:ascii="Aptos" w:hAnsi="Aptos"/>
                <w:b w:val="0"/>
                <w:color w:val="243746"/>
                <w:sz w:val="16"/>
              </w:rPr>
              <w:t>LangChain and LangGraph</w:t>
            </w:r>
          </w:p>
        </w:tc>
      </w:tr>
      <w:tr>
        <w:tc>
          <w:tcPr>
            <w:tcW w:type="dxa" w:w="2160"/>
            <w:vAlign w:val="center"/>
            <w:shd w:fill="F6F9FA"/>
          </w:tcPr>
          <w:p>
            <w:pPr>
              <w:spacing w:after="20" w:before="20"/>
            </w:pPr>
            <w:r/>
            <w:r>
              <w:rPr>
                <w:rFonts w:ascii="Aptos" w:hAnsi="Aptos"/>
                <w:b/>
                <w:color w:val="10283D"/>
                <w:sz w:val="16"/>
              </w:rPr>
              <w:t>Embeddings</w:t>
            </w:r>
          </w:p>
        </w:tc>
        <w:tc>
          <w:tcPr>
            <w:tcW w:type="dxa" w:w="7056"/>
            <w:vAlign w:val="center"/>
            <w:shd w:fill="F6F9FA"/>
          </w:tcPr>
          <w:p>
            <w:pPr>
              <w:spacing w:after="20" w:before="20"/>
            </w:pPr>
            <w:r/>
            <w:r>
              <w:rPr>
                <w:rFonts w:ascii="Aptos" w:hAnsi="Aptos"/>
                <w:b w:val="0"/>
                <w:color w:val="243746"/>
                <w:sz w:val="16"/>
              </w:rPr>
              <w:t>Provider embedding APIs, Sentence Transformers</w:t>
            </w:r>
          </w:p>
        </w:tc>
      </w:tr>
      <w:tr>
        <w:tc>
          <w:tcPr>
            <w:tcW w:type="dxa" w:w="2160"/>
            <w:vAlign w:val="center"/>
            <w:shd w:fill="EAF4F6"/>
          </w:tcPr>
          <w:p>
            <w:pPr>
              <w:spacing w:after="20" w:before="20"/>
            </w:pPr>
            <w:r/>
            <w:r>
              <w:rPr>
                <w:rFonts w:ascii="Aptos" w:hAnsi="Aptos"/>
                <w:b/>
                <w:color w:val="10283D"/>
                <w:sz w:val="16"/>
              </w:rPr>
              <w:t>Vector search</w:t>
            </w:r>
          </w:p>
        </w:tc>
        <w:tc>
          <w:tcPr>
            <w:tcW w:type="dxa" w:w="7056"/>
            <w:vAlign w:val="center"/>
            <w:shd w:fill="EAF4F6"/>
          </w:tcPr>
          <w:p>
            <w:pPr>
              <w:spacing w:after="20" w:before="20"/>
            </w:pPr>
            <w:r/>
            <w:r>
              <w:rPr>
                <w:rFonts w:ascii="Aptos" w:hAnsi="Aptos"/>
                <w:b w:val="0"/>
                <w:color w:val="243746"/>
                <w:sz w:val="16"/>
              </w:rPr>
              <w:t>FAISS and vector database concepts</w:t>
            </w:r>
          </w:p>
        </w:tc>
      </w:tr>
      <w:tr>
        <w:tc>
          <w:tcPr>
            <w:tcW w:type="dxa" w:w="2160"/>
            <w:vAlign w:val="center"/>
            <w:shd w:fill="F6F9FA"/>
          </w:tcPr>
          <w:p>
            <w:pPr>
              <w:spacing w:after="20" w:before="20"/>
            </w:pPr>
            <w:r/>
            <w:r>
              <w:rPr>
                <w:rFonts w:ascii="Aptos" w:hAnsi="Aptos"/>
                <w:b/>
                <w:color w:val="10283D"/>
                <w:sz w:val="16"/>
              </w:rPr>
              <w:t>Application concepts</w:t>
            </w:r>
          </w:p>
        </w:tc>
        <w:tc>
          <w:tcPr>
            <w:tcW w:type="dxa" w:w="7056"/>
            <w:vAlign w:val="center"/>
            <w:shd w:fill="F6F9FA"/>
          </w:tcPr>
          <w:p>
            <w:pPr>
              <w:spacing w:after="20" w:before="20"/>
            </w:pPr>
            <w:r/>
            <w:r>
              <w:rPr>
                <w:rFonts w:ascii="Aptos" w:hAnsi="Aptos"/>
                <w:b w:val="0"/>
                <w:color w:val="243746"/>
                <w:sz w:val="16"/>
              </w:rPr>
              <w:t>REST APIs, JSON, authentication, logging, evaluation</w:t>
            </w:r>
          </w:p>
        </w:tc>
      </w:tr>
    </w:tbl>
    <w:p>
      <w:pPr>
        <w:spacing w:after="20"/>
      </w:pPr>
    </w:p>
    <w:p>
      <w:pPr>
        <w:pStyle w:val="Heading2"/>
      </w:pPr>
      <w:r>
        <w:t>Intermediate practical projects</w:t>
      </w:r>
    </w:p>
    <w:p>
      <w:pPr>
        <w:pStyle w:val="ListBullet"/>
        <w:spacing w:after="20"/>
      </w:pPr>
      <w:r>
        <w:t>LLM-powered text summarizer using an API.</w:t>
      </w:r>
    </w:p>
    <w:p>
      <w:pPr>
        <w:pStyle w:val="ListBullet"/>
        <w:spacing w:after="20"/>
      </w:pPr>
      <w:r>
        <w:t>Document Q&amp;A assistant using LangChain, embeddings and FAISS.</w:t>
      </w:r>
    </w:p>
    <w:p>
      <w:pPr>
        <w:pStyle w:val="ListBullet"/>
        <w:spacing w:after="20"/>
      </w:pPr>
      <w:r>
        <w:t>RAG assistant for HR policies, operations manuals or support knowledge.</w:t>
      </w:r>
    </w:p>
    <w:p>
      <w:pPr>
        <w:pStyle w:val="ListBullet"/>
        <w:spacing w:after="20"/>
      </w:pPr>
      <w:r>
        <w:t>Business report analysis assistant with structured output.</w:t>
      </w:r>
    </w:p>
    <w:p>
      <w:pPr>
        <w:pStyle w:val="ListBullet"/>
        <w:spacing w:after="20"/>
      </w:pPr>
      <w:r>
        <w:t>A graph-based workflow with routing, state and controlled tool use.</w:t>
      </w:r>
    </w:p>
    <w:p>
      <w:pPr>
        <w:pStyle w:val="Heading2"/>
      </w:pPr>
      <w:r>
        <w:t>Intermediate learning outcomes</w:t>
      </w:r>
    </w:p>
    <w:p>
      <w:pPr>
        <w:pStyle w:val="ListBullet"/>
        <w:spacing w:after="20"/>
      </w:pPr>
      <w:r>
        <w:t>Integrate LLMs into Python applications using provider APIs.</w:t>
      </w:r>
    </w:p>
    <w:p>
      <w:pPr>
        <w:pStyle w:val="ListBullet"/>
        <w:spacing w:after="20"/>
      </w:pPr>
      <w:r>
        <w:t>Understand embeddings, semantic search and vector storage.</w:t>
      </w:r>
    </w:p>
    <w:p>
      <w:pPr>
        <w:pStyle w:val="ListBullet"/>
        <w:spacing w:after="20"/>
      </w:pPr>
      <w:r>
        <w:t>Build document ingestion and RAG pipelines.</w:t>
      </w:r>
    </w:p>
    <w:p>
      <w:pPr>
        <w:pStyle w:val="ListBullet"/>
        <w:spacing w:after="20"/>
      </w:pPr>
      <w:r>
        <w:t>Use LangChain and LangGraph to orchestrate LLM application logic.</w:t>
      </w:r>
    </w:p>
    <w:p>
      <w:pPr>
        <w:pStyle w:val="ListBullet"/>
        <w:spacing w:after="20"/>
      </w:pPr>
      <w:r>
        <w:t>Compare prompting, RAG and fine-tuning for different application needs.</w:t>
      </w:r>
    </w:p>
    <w:p>
      <w:pPr>
        <w:pStyle w:val="ListBullet"/>
        <w:spacing w:after="20"/>
      </w:pPr>
      <w:r>
        <w:t>Test and improve application quality, reliability and grounding.</w:t>
      </w:r>
    </w:p>
    <w:p>
      <w:r>
        <w:br w:type="page"/>
      </w:r>
    </w:p>
    <w:p>
      <w:pPr>
        <w:pStyle w:val="Heading1"/>
      </w:pPr>
      <w:r>
        <w:t>5. Level 3 — Applied Generative AI Specialization: Advanced</w:t>
      </w:r>
    </w:p>
    <w:tbl>
      <w:tblPr>
        <w:tblW w:type="auto" w:w="0"/>
        <w:tblLook w:firstColumn="1" w:firstRow="1" w:lastColumn="0" w:lastRow="0" w:noHBand="0" w:noVBand="1" w:val="04A0"/>
      </w:tblPr>
      <w:tblGrid>
        <w:gridCol w:w="10282"/>
      </w:tblGrid>
      <w:tr>
        <w:tc>
          <w:tcPr>
            <w:tcW w:type="dxa" w:w="10282"/>
            <w:shd w:fill="1B405A"/>
          </w:tcPr>
          <w:p>
            <w:pPr>
              <w:spacing w:after="60"/>
            </w:pPr>
            <w:r/>
            <w:r>
              <w:rPr>
                <w:b/>
                <w:color w:val="F4AE42"/>
                <w:sz w:val="20"/>
              </w:rPr>
              <w:t>16 CLASSES  |  APPLIED AI PRACTITIONER LEVEL</w:t>
              <w:br/>
            </w:r>
            <w:r>
              <w:rPr>
                <w:color w:val="FFFFFF"/>
                <w:sz w:val="17"/>
              </w:rPr>
              <w:t>Design advanced agentic, multimodal and production-oriented AI systems, with a focus on safety, governance and business value.</w:t>
            </w:r>
          </w:p>
        </w:tc>
      </w:tr>
    </w:tbl>
    <w:p>
      <w:pPr>
        <w:spacing w:after="20"/>
      </w:pPr>
    </w:p>
    <w:tbl>
      <w:tblPr>
        <w:tblW w:type="auto" w:w="0"/>
        <w:jc w:val="center"/>
        <w:tblLayout w:type="fixed"/>
        <w:tblLook w:firstColumn="1" w:firstRow="1" w:lastColumn="0" w:lastRow="0" w:noHBand="0" w:noVBand="1" w:val="04A0"/>
      </w:tblPr>
      <w:tblGrid>
        <w:gridCol w:w="3427"/>
        <w:gridCol w:w="3427"/>
        <w:gridCol w:w="3427"/>
      </w:tblGrid>
      <w:tr>
        <w:tc>
          <w:tcPr>
            <w:tcW w:type="dxa" w:w="792"/>
            <w:vAlign w:val="center"/>
            <w:shd w:fill="10283D"/>
          </w:tcPr>
          <w:p>
            <w:pPr>
              <w:spacing w:after="20" w:before="20"/>
            </w:pPr>
            <w:r/>
            <w:r>
              <w:rPr>
                <w:rFonts w:ascii="Aptos" w:hAnsi="Aptos"/>
                <w:b/>
                <w:color w:val="FFFFFF"/>
                <w:sz w:val="16"/>
              </w:rPr>
              <w:t>Class</w:t>
            </w:r>
          </w:p>
        </w:tc>
        <w:tc>
          <w:tcPr>
            <w:tcW w:type="dxa" w:w="2880"/>
            <w:vAlign w:val="center"/>
            <w:shd w:fill="10283D"/>
          </w:tcPr>
          <w:p>
            <w:pPr>
              <w:spacing w:after="20" w:before="20"/>
            </w:pPr>
            <w:r/>
            <w:r>
              <w:rPr>
                <w:rFonts w:ascii="Aptos" w:hAnsi="Aptos"/>
                <w:b/>
                <w:color w:val="FFFFFF"/>
                <w:sz w:val="16"/>
              </w:rPr>
              <w:t>Topic</w:t>
            </w:r>
          </w:p>
        </w:tc>
        <w:tc>
          <w:tcPr>
            <w:tcW w:type="dxa" w:w="6048"/>
            <w:vAlign w:val="center"/>
            <w:shd w:fill="10283D"/>
          </w:tcPr>
          <w:p>
            <w:pPr>
              <w:spacing w:after="20" w:before="20"/>
            </w:pPr>
            <w:r/>
            <w:r>
              <w:rPr>
                <w:rFonts w:ascii="Aptos" w:hAnsi="Aptos"/>
                <w:b/>
                <w:color w:val="FFFFFF"/>
                <w:sz w:val="16"/>
              </w:rPr>
              <w:t>Coverage</w:t>
            </w:r>
          </w:p>
        </w:tc>
      </w:tr>
      <w:tr>
        <w:tc>
          <w:tcPr>
            <w:tcW w:type="dxa" w:w="792"/>
            <w:vAlign w:val="center"/>
            <w:shd w:fill="EAF4F6"/>
          </w:tcPr>
          <w:p>
            <w:pPr>
              <w:spacing w:after="20" w:before="20"/>
            </w:pPr>
            <w:r/>
            <w:r>
              <w:rPr>
                <w:rFonts w:ascii="Aptos" w:hAnsi="Aptos"/>
                <w:b/>
                <w:color w:val="10283D"/>
                <w:sz w:val="14"/>
              </w:rPr>
              <w:t>1</w:t>
            </w:r>
          </w:p>
        </w:tc>
        <w:tc>
          <w:tcPr>
            <w:tcW w:type="dxa" w:w="2880"/>
            <w:vAlign w:val="center"/>
            <w:shd w:fill="EAF4F6"/>
          </w:tcPr>
          <w:p>
            <w:pPr>
              <w:spacing w:after="20" w:before="20"/>
            </w:pPr>
            <w:r/>
            <w:r>
              <w:rPr>
                <w:rFonts w:ascii="Aptos" w:hAnsi="Aptos"/>
                <w:b w:val="0"/>
                <w:color w:val="243746"/>
                <w:sz w:val="14"/>
              </w:rPr>
              <w:t>Advanced LLM Application Architecture</w:t>
            </w:r>
          </w:p>
        </w:tc>
        <w:tc>
          <w:tcPr>
            <w:tcW w:type="dxa" w:w="6048"/>
            <w:vAlign w:val="center"/>
            <w:shd w:fill="EAF4F6"/>
          </w:tcPr>
          <w:p>
            <w:pPr>
              <w:spacing w:after="20" w:before="20"/>
            </w:pPr>
            <w:r/>
            <w:r>
              <w:rPr>
                <w:rFonts w:ascii="Aptos" w:hAnsi="Aptos"/>
                <w:b w:val="0"/>
                <w:color w:val="243746"/>
                <w:sz w:val="14"/>
              </w:rPr>
              <w:t>Modular design; model abstraction; orchestration patterns; scalable application structure; provider trade-offs.</w:t>
            </w:r>
          </w:p>
        </w:tc>
      </w:tr>
      <w:tr>
        <w:tc>
          <w:tcPr>
            <w:tcW w:type="dxa" w:w="792"/>
            <w:vAlign w:val="center"/>
            <w:shd w:fill="F6F9FA"/>
          </w:tcPr>
          <w:p>
            <w:pPr>
              <w:spacing w:after="20" w:before="20"/>
            </w:pPr>
            <w:r/>
            <w:r>
              <w:rPr>
                <w:rFonts w:ascii="Aptos" w:hAnsi="Aptos"/>
                <w:b/>
                <w:color w:val="10283D"/>
                <w:sz w:val="14"/>
              </w:rPr>
              <w:t>2</w:t>
            </w:r>
          </w:p>
        </w:tc>
        <w:tc>
          <w:tcPr>
            <w:tcW w:type="dxa" w:w="2880"/>
            <w:vAlign w:val="center"/>
            <w:shd w:fill="F6F9FA"/>
          </w:tcPr>
          <w:p>
            <w:pPr>
              <w:spacing w:after="20" w:before="20"/>
            </w:pPr>
            <w:r/>
            <w:r>
              <w:rPr>
                <w:rFonts w:ascii="Aptos" w:hAnsi="Aptos"/>
                <w:b w:val="0"/>
                <w:color w:val="243746"/>
                <w:sz w:val="14"/>
              </w:rPr>
              <w:t>Advanced LangGraph and Stateful Workflows</w:t>
            </w:r>
          </w:p>
        </w:tc>
        <w:tc>
          <w:tcPr>
            <w:tcW w:type="dxa" w:w="6048"/>
            <w:vAlign w:val="center"/>
            <w:shd w:fill="F6F9FA"/>
          </w:tcPr>
          <w:p>
            <w:pPr>
              <w:spacing w:after="20" w:before="20"/>
            </w:pPr>
            <w:r/>
            <w:r>
              <w:rPr>
                <w:rFonts w:ascii="Aptos" w:hAnsi="Aptos"/>
                <w:b w:val="0"/>
                <w:color w:val="243746"/>
                <w:sz w:val="14"/>
              </w:rPr>
              <w:t>Multi-step graphs; state management; branching; persistence; retries; human-in-the-loop workflows.</w:t>
            </w:r>
          </w:p>
        </w:tc>
      </w:tr>
      <w:tr>
        <w:tc>
          <w:tcPr>
            <w:tcW w:type="dxa" w:w="792"/>
            <w:vAlign w:val="center"/>
            <w:shd w:fill="EAF4F6"/>
          </w:tcPr>
          <w:p>
            <w:pPr>
              <w:spacing w:after="20" w:before="20"/>
            </w:pPr>
            <w:r/>
            <w:r>
              <w:rPr>
                <w:rFonts w:ascii="Aptos" w:hAnsi="Aptos"/>
                <w:b/>
                <w:color w:val="10283D"/>
                <w:sz w:val="14"/>
              </w:rPr>
              <w:t>3</w:t>
            </w:r>
          </w:p>
        </w:tc>
        <w:tc>
          <w:tcPr>
            <w:tcW w:type="dxa" w:w="2880"/>
            <w:vAlign w:val="center"/>
            <w:shd w:fill="EAF4F6"/>
          </w:tcPr>
          <w:p>
            <w:pPr>
              <w:spacing w:after="20" w:before="20"/>
            </w:pPr>
            <w:r/>
            <w:r>
              <w:rPr>
                <w:rFonts w:ascii="Aptos" w:hAnsi="Aptos"/>
                <w:b w:val="0"/>
                <w:color w:val="243746"/>
                <w:sz w:val="14"/>
              </w:rPr>
              <w:t>Agentic AI Fundamentals</w:t>
            </w:r>
          </w:p>
        </w:tc>
        <w:tc>
          <w:tcPr>
            <w:tcW w:type="dxa" w:w="6048"/>
            <w:vAlign w:val="center"/>
            <w:shd w:fill="EAF4F6"/>
          </w:tcPr>
          <w:p>
            <w:pPr>
              <w:spacing w:after="20" w:before="20"/>
            </w:pPr>
            <w:r/>
            <w:r>
              <w:rPr>
                <w:rFonts w:ascii="Aptos" w:hAnsi="Aptos"/>
                <w:b w:val="0"/>
                <w:color w:val="243746"/>
                <w:sz w:val="14"/>
              </w:rPr>
              <w:t>Agents vs. workflows; planning; reasoning patterns; tool use; agent loops; boundaries and control.</w:t>
            </w:r>
          </w:p>
        </w:tc>
      </w:tr>
      <w:tr>
        <w:tc>
          <w:tcPr>
            <w:tcW w:type="dxa" w:w="792"/>
            <w:vAlign w:val="center"/>
            <w:shd w:fill="F6F9FA"/>
          </w:tcPr>
          <w:p>
            <w:pPr>
              <w:spacing w:after="20" w:before="20"/>
            </w:pPr>
            <w:r/>
            <w:r>
              <w:rPr>
                <w:rFonts w:ascii="Aptos" w:hAnsi="Aptos"/>
                <w:b/>
                <w:color w:val="10283D"/>
                <w:sz w:val="14"/>
              </w:rPr>
              <w:t>4</w:t>
            </w:r>
          </w:p>
        </w:tc>
        <w:tc>
          <w:tcPr>
            <w:tcW w:type="dxa" w:w="2880"/>
            <w:vAlign w:val="center"/>
            <w:shd w:fill="F6F9FA"/>
          </w:tcPr>
          <w:p>
            <w:pPr>
              <w:spacing w:after="20" w:before="20"/>
            </w:pPr>
            <w:r/>
            <w:r>
              <w:rPr>
                <w:rFonts w:ascii="Aptos" w:hAnsi="Aptos"/>
                <w:b w:val="0"/>
                <w:color w:val="243746"/>
                <w:sz w:val="14"/>
              </w:rPr>
              <w:t>Agentic Frameworks — CrewAI</w:t>
            </w:r>
          </w:p>
        </w:tc>
        <w:tc>
          <w:tcPr>
            <w:tcW w:type="dxa" w:w="6048"/>
            <w:vAlign w:val="center"/>
            <w:shd w:fill="F6F9FA"/>
          </w:tcPr>
          <w:p>
            <w:pPr>
              <w:spacing w:after="20" w:before="20"/>
            </w:pPr>
            <w:r/>
            <w:r>
              <w:rPr>
                <w:rFonts w:ascii="Aptos" w:hAnsi="Aptos"/>
                <w:b w:val="0"/>
                <w:color w:val="243746"/>
                <w:sz w:val="14"/>
              </w:rPr>
              <w:t>Crew-based design; roles; tasks; agents; collaboration; delegation; practical multi-agent workflow.</w:t>
            </w:r>
          </w:p>
        </w:tc>
      </w:tr>
      <w:tr>
        <w:tc>
          <w:tcPr>
            <w:tcW w:type="dxa" w:w="792"/>
            <w:vAlign w:val="center"/>
            <w:shd w:fill="EAF4F6"/>
          </w:tcPr>
          <w:p>
            <w:pPr>
              <w:spacing w:after="20" w:before="20"/>
            </w:pPr>
            <w:r/>
            <w:r>
              <w:rPr>
                <w:rFonts w:ascii="Aptos" w:hAnsi="Aptos"/>
                <w:b/>
                <w:color w:val="10283D"/>
                <w:sz w:val="14"/>
              </w:rPr>
              <w:t>5</w:t>
            </w:r>
          </w:p>
        </w:tc>
        <w:tc>
          <w:tcPr>
            <w:tcW w:type="dxa" w:w="2880"/>
            <w:vAlign w:val="center"/>
            <w:shd w:fill="EAF4F6"/>
          </w:tcPr>
          <w:p>
            <w:pPr>
              <w:spacing w:after="20" w:before="20"/>
            </w:pPr>
            <w:r/>
            <w:r>
              <w:rPr>
                <w:rFonts w:ascii="Aptos" w:hAnsi="Aptos"/>
                <w:b w:val="0"/>
                <w:color w:val="243746"/>
                <w:sz w:val="14"/>
              </w:rPr>
              <w:t>Agentic Frameworks — AutoGen</w:t>
            </w:r>
          </w:p>
        </w:tc>
        <w:tc>
          <w:tcPr>
            <w:tcW w:type="dxa" w:w="6048"/>
            <w:vAlign w:val="center"/>
            <w:shd w:fill="EAF4F6"/>
          </w:tcPr>
          <w:p>
            <w:pPr>
              <w:spacing w:after="20" w:before="20"/>
            </w:pPr>
            <w:r/>
            <w:r>
              <w:rPr>
                <w:rFonts w:ascii="Aptos" w:hAnsi="Aptos"/>
                <w:b w:val="0"/>
                <w:color w:val="243746"/>
                <w:sz w:val="14"/>
              </w:rPr>
              <w:t>Multi-agent conversation patterns; agent collaboration; tool integration; workflow design and evaluation.</w:t>
            </w:r>
          </w:p>
        </w:tc>
      </w:tr>
      <w:tr>
        <w:tc>
          <w:tcPr>
            <w:tcW w:type="dxa" w:w="792"/>
            <w:vAlign w:val="center"/>
            <w:shd w:fill="F6F9FA"/>
          </w:tcPr>
          <w:p>
            <w:pPr>
              <w:spacing w:after="20" w:before="20"/>
            </w:pPr>
            <w:r/>
            <w:r>
              <w:rPr>
                <w:rFonts w:ascii="Aptos" w:hAnsi="Aptos"/>
                <w:b/>
                <w:color w:val="10283D"/>
                <w:sz w:val="14"/>
              </w:rPr>
              <w:t>6</w:t>
            </w:r>
          </w:p>
        </w:tc>
        <w:tc>
          <w:tcPr>
            <w:tcW w:type="dxa" w:w="2880"/>
            <w:vAlign w:val="center"/>
            <w:shd w:fill="F6F9FA"/>
          </w:tcPr>
          <w:p>
            <w:pPr>
              <w:spacing w:after="20" w:before="20"/>
            </w:pPr>
            <w:r/>
            <w:r>
              <w:rPr>
                <w:rFonts w:ascii="Aptos" w:hAnsi="Aptos"/>
                <w:b w:val="0"/>
                <w:color w:val="243746"/>
                <w:sz w:val="14"/>
              </w:rPr>
              <w:t>Model Context Protocol (MCP)</w:t>
            </w:r>
          </w:p>
        </w:tc>
        <w:tc>
          <w:tcPr>
            <w:tcW w:type="dxa" w:w="6048"/>
            <w:vAlign w:val="center"/>
            <w:shd w:fill="F6F9FA"/>
          </w:tcPr>
          <w:p>
            <w:pPr>
              <w:spacing w:after="20" w:before="20"/>
            </w:pPr>
            <w:r/>
            <w:r>
              <w:rPr>
                <w:rFonts w:ascii="Aptos" w:hAnsi="Aptos"/>
                <w:b w:val="0"/>
                <w:color w:val="243746"/>
                <w:sz w:val="14"/>
              </w:rPr>
              <w:t>MCP concepts; clients and servers; tools and resources; connecting AI applications to external context and services; security considerations.</w:t>
            </w:r>
          </w:p>
        </w:tc>
      </w:tr>
      <w:tr>
        <w:tc>
          <w:tcPr>
            <w:tcW w:type="dxa" w:w="792"/>
            <w:vAlign w:val="center"/>
            <w:shd w:fill="EAF4F6"/>
          </w:tcPr>
          <w:p>
            <w:pPr>
              <w:spacing w:after="20" w:before="20"/>
            </w:pPr>
            <w:r/>
            <w:r>
              <w:rPr>
                <w:rFonts w:ascii="Aptos" w:hAnsi="Aptos"/>
                <w:b/>
                <w:color w:val="10283D"/>
                <w:sz w:val="14"/>
              </w:rPr>
              <w:t>7</w:t>
            </w:r>
          </w:p>
        </w:tc>
        <w:tc>
          <w:tcPr>
            <w:tcW w:type="dxa" w:w="2880"/>
            <w:vAlign w:val="center"/>
            <w:shd w:fill="EAF4F6"/>
          </w:tcPr>
          <w:p>
            <w:pPr>
              <w:spacing w:after="20" w:before="20"/>
            </w:pPr>
            <w:r/>
            <w:r>
              <w:rPr>
                <w:rFonts w:ascii="Aptos" w:hAnsi="Aptos"/>
                <w:b w:val="0"/>
                <w:color w:val="243746"/>
                <w:sz w:val="14"/>
              </w:rPr>
              <w:t>Advanced Tool Use and Agent Orchestration</w:t>
            </w:r>
          </w:p>
        </w:tc>
        <w:tc>
          <w:tcPr>
            <w:tcW w:type="dxa" w:w="6048"/>
            <w:vAlign w:val="center"/>
            <w:shd w:fill="EAF4F6"/>
          </w:tcPr>
          <w:p>
            <w:pPr>
              <w:spacing w:after="20" w:before="20"/>
            </w:pPr>
            <w:r/>
            <w:r>
              <w:rPr>
                <w:rFonts w:ascii="Aptos" w:hAnsi="Aptos"/>
                <w:b w:val="0"/>
                <w:color w:val="243746"/>
                <w:sz w:val="14"/>
              </w:rPr>
              <w:t>Tool selection; multi-step execution; routing; retries; validation; approvals; failure recovery and observability.</w:t>
            </w:r>
          </w:p>
        </w:tc>
      </w:tr>
      <w:tr>
        <w:tc>
          <w:tcPr>
            <w:tcW w:type="dxa" w:w="792"/>
            <w:vAlign w:val="center"/>
            <w:shd w:fill="F6F9FA"/>
          </w:tcPr>
          <w:p>
            <w:pPr>
              <w:spacing w:after="20" w:before="20"/>
            </w:pPr>
            <w:r/>
            <w:r>
              <w:rPr>
                <w:rFonts w:ascii="Aptos" w:hAnsi="Aptos"/>
                <w:b/>
                <w:color w:val="10283D"/>
                <w:sz w:val="14"/>
              </w:rPr>
              <w:t>8</w:t>
            </w:r>
          </w:p>
        </w:tc>
        <w:tc>
          <w:tcPr>
            <w:tcW w:type="dxa" w:w="2880"/>
            <w:vAlign w:val="center"/>
            <w:shd w:fill="F6F9FA"/>
          </w:tcPr>
          <w:p>
            <w:pPr>
              <w:spacing w:after="20" w:before="20"/>
            </w:pPr>
            <w:r/>
            <w:r>
              <w:rPr>
                <w:rFonts w:ascii="Aptos" w:hAnsi="Aptos"/>
                <w:b w:val="0"/>
                <w:color w:val="243746"/>
                <w:sz w:val="14"/>
              </w:rPr>
              <w:t>Advanced RAG and Knowledge Systems</w:t>
            </w:r>
          </w:p>
        </w:tc>
        <w:tc>
          <w:tcPr>
            <w:tcW w:type="dxa" w:w="6048"/>
            <w:vAlign w:val="center"/>
            <w:shd w:fill="F6F9FA"/>
          </w:tcPr>
          <w:p>
            <w:pPr>
              <w:spacing w:after="20" w:before="20"/>
            </w:pPr>
            <w:r/>
            <w:r>
              <w:rPr>
                <w:rFonts w:ascii="Aptos" w:hAnsi="Aptos"/>
                <w:b w:val="0"/>
                <w:color w:val="243746"/>
                <w:sz w:val="14"/>
              </w:rPr>
              <w:t>Advanced retrieval strategies; hybrid retrieval; reranking; query routing; evaluation; knowledge-base maintenance.</w:t>
            </w:r>
          </w:p>
        </w:tc>
      </w:tr>
      <w:tr>
        <w:tc>
          <w:tcPr>
            <w:tcW w:type="dxa" w:w="792"/>
            <w:vAlign w:val="center"/>
            <w:shd w:fill="EAF4F6"/>
          </w:tcPr>
          <w:p>
            <w:pPr>
              <w:spacing w:after="20" w:before="20"/>
            </w:pPr>
            <w:r/>
            <w:r>
              <w:rPr>
                <w:rFonts w:ascii="Aptos" w:hAnsi="Aptos"/>
                <w:b/>
                <w:color w:val="10283D"/>
                <w:sz w:val="14"/>
              </w:rPr>
              <w:t>9</w:t>
            </w:r>
          </w:p>
        </w:tc>
        <w:tc>
          <w:tcPr>
            <w:tcW w:type="dxa" w:w="2880"/>
            <w:vAlign w:val="center"/>
            <w:shd w:fill="EAF4F6"/>
          </w:tcPr>
          <w:p>
            <w:pPr>
              <w:spacing w:after="20" w:before="20"/>
            </w:pPr>
            <w:r/>
            <w:r>
              <w:rPr>
                <w:rFonts w:ascii="Aptos" w:hAnsi="Aptos"/>
                <w:b w:val="0"/>
                <w:color w:val="243746"/>
                <w:sz w:val="14"/>
              </w:rPr>
              <w:t>Multimodal Generative AI Architecture</w:t>
            </w:r>
          </w:p>
        </w:tc>
        <w:tc>
          <w:tcPr>
            <w:tcW w:type="dxa" w:w="6048"/>
            <w:vAlign w:val="center"/>
            <w:shd w:fill="EAF4F6"/>
          </w:tcPr>
          <w:p>
            <w:pPr>
              <w:spacing w:after="20" w:before="20"/>
            </w:pPr>
            <w:r/>
            <w:r>
              <w:rPr>
                <w:rFonts w:ascii="Aptos" w:hAnsi="Aptos"/>
                <w:b w:val="0"/>
                <w:color w:val="243746"/>
                <w:sz w:val="14"/>
              </w:rPr>
              <w:t>Text, image, audio and video inputs/outputs; multimodal models; use-case architecture; limitations and evaluation.</w:t>
            </w:r>
          </w:p>
        </w:tc>
      </w:tr>
      <w:tr>
        <w:tc>
          <w:tcPr>
            <w:tcW w:type="dxa" w:w="792"/>
            <w:vAlign w:val="center"/>
            <w:shd w:fill="F6F9FA"/>
          </w:tcPr>
          <w:p>
            <w:pPr>
              <w:spacing w:after="20" w:before="20"/>
            </w:pPr>
            <w:r/>
            <w:r>
              <w:rPr>
                <w:rFonts w:ascii="Aptos" w:hAnsi="Aptos"/>
                <w:b/>
                <w:color w:val="10283D"/>
                <w:sz w:val="14"/>
              </w:rPr>
              <w:t>10</w:t>
            </w:r>
          </w:p>
        </w:tc>
        <w:tc>
          <w:tcPr>
            <w:tcW w:type="dxa" w:w="2880"/>
            <w:vAlign w:val="center"/>
            <w:shd w:fill="F6F9FA"/>
          </w:tcPr>
          <w:p>
            <w:pPr>
              <w:spacing w:after="20" w:before="20"/>
            </w:pPr>
            <w:r/>
            <w:r>
              <w:rPr>
                <w:rFonts w:ascii="Aptos" w:hAnsi="Aptos"/>
                <w:b w:val="0"/>
                <w:color w:val="243746"/>
                <w:sz w:val="14"/>
              </w:rPr>
              <w:t>AI Image Generation Capabilities</w:t>
            </w:r>
          </w:p>
        </w:tc>
        <w:tc>
          <w:tcPr>
            <w:tcW w:type="dxa" w:w="6048"/>
            <w:vAlign w:val="center"/>
            <w:shd w:fill="F6F9FA"/>
          </w:tcPr>
          <w:p>
            <w:pPr>
              <w:spacing w:after="20" w:before="20"/>
            </w:pPr>
            <w:r/>
            <w:r>
              <w:rPr>
                <w:rFonts w:ascii="Aptos" w:hAnsi="Aptos"/>
                <w:b w:val="0"/>
                <w:color w:val="243746"/>
                <w:sz w:val="14"/>
              </w:rPr>
              <w:t>Text-to-image; image prompting; composition and style control; image editing; diffusion concepts; practical creative workflows.</w:t>
            </w:r>
          </w:p>
        </w:tc>
      </w:tr>
      <w:tr>
        <w:tc>
          <w:tcPr>
            <w:tcW w:type="dxa" w:w="792"/>
            <w:vAlign w:val="center"/>
            <w:shd w:fill="EAF4F6"/>
          </w:tcPr>
          <w:p>
            <w:pPr>
              <w:spacing w:after="20" w:before="20"/>
            </w:pPr>
            <w:r/>
            <w:r>
              <w:rPr>
                <w:rFonts w:ascii="Aptos" w:hAnsi="Aptos"/>
                <w:b/>
                <w:color w:val="10283D"/>
                <w:sz w:val="14"/>
              </w:rPr>
              <w:t>11</w:t>
            </w:r>
          </w:p>
        </w:tc>
        <w:tc>
          <w:tcPr>
            <w:tcW w:type="dxa" w:w="2880"/>
            <w:vAlign w:val="center"/>
            <w:shd w:fill="EAF4F6"/>
          </w:tcPr>
          <w:p>
            <w:pPr>
              <w:spacing w:after="20" w:before="20"/>
            </w:pPr>
            <w:r/>
            <w:r>
              <w:rPr>
                <w:rFonts w:ascii="Aptos" w:hAnsi="Aptos"/>
                <w:b w:val="0"/>
                <w:color w:val="243746"/>
                <w:sz w:val="14"/>
              </w:rPr>
              <w:t>AI Video, Audio and Creative Workflows</w:t>
            </w:r>
          </w:p>
        </w:tc>
        <w:tc>
          <w:tcPr>
            <w:tcW w:type="dxa" w:w="6048"/>
            <w:vAlign w:val="center"/>
            <w:shd w:fill="EAF4F6"/>
          </w:tcPr>
          <w:p>
            <w:pPr>
              <w:spacing w:after="20" w:before="20"/>
            </w:pPr>
            <w:r/>
            <w:r>
              <w:rPr>
                <w:rFonts w:ascii="Aptos" w:hAnsi="Aptos"/>
                <w:b w:val="0"/>
                <w:color w:val="243746"/>
                <w:sz w:val="14"/>
              </w:rPr>
              <w:t>Video generation concepts; storyboards; voice and speech; audio workflows; content pipelines; responsible media use.</w:t>
            </w:r>
          </w:p>
        </w:tc>
      </w:tr>
      <w:tr>
        <w:tc>
          <w:tcPr>
            <w:tcW w:type="dxa" w:w="792"/>
            <w:vAlign w:val="center"/>
            <w:shd w:fill="F6F9FA"/>
          </w:tcPr>
          <w:p>
            <w:pPr>
              <w:spacing w:after="20" w:before="20"/>
            </w:pPr>
            <w:r/>
            <w:r>
              <w:rPr>
                <w:rFonts w:ascii="Aptos" w:hAnsi="Aptos"/>
                <w:b/>
                <w:color w:val="10283D"/>
                <w:sz w:val="14"/>
              </w:rPr>
              <w:t>12</w:t>
            </w:r>
          </w:p>
        </w:tc>
        <w:tc>
          <w:tcPr>
            <w:tcW w:type="dxa" w:w="2880"/>
            <w:vAlign w:val="center"/>
            <w:shd w:fill="F6F9FA"/>
          </w:tcPr>
          <w:p>
            <w:pPr>
              <w:spacing w:after="20" w:before="20"/>
            </w:pPr>
            <w:r/>
            <w:r>
              <w:rPr>
                <w:rFonts w:ascii="Aptos" w:hAnsi="Aptos"/>
                <w:b w:val="0"/>
                <w:color w:val="243746"/>
                <w:sz w:val="14"/>
              </w:rPr>
              <w:t>Open and Hosted Model Ecosystems</w:t>
            </w:r>
          </w:p>
        </w:tc>
        <w:tc>
          <w:tcPr>
            <w:tcW w:type="dxa" w:w="6048"/>
            <w:vAlign w:val="center"/>
            <w:shd w:fill="F6F9FA"/>
          </w:tcPr>
          <w:p>
            <w:pPr>
              <w:spacing w:after="20" w:before="20"/>
            </w:pPr>
            <w:r/>
            <w:r>
              <w:rPr>
                <w:rFonts w:ascii="Aptos" w:hAnsi="Aptos"/>
                <w:b w:val="0"/>
                <w:color w:val="243746"/>
                <w:sz w:val="14"/>
              </w:rPr>
              <w:t>Hugging Face; Meta Llama; open-weight models; hosted model platforms; Amazon Bedrock overview; model selection and deployment trade-offs.</w:t>
            </w:r>
          </w:p>
        </w:tc>
      </w:tr>
      <w:tr>
        <w:tc>
          <w:tcPr>
            <w:tcW w:type="dxa" w:w="792"/>
            <w:vAlign w:val="center"/>
            <w:shd w:fill="EAF4F6"/>
          </w:tcPr>
          <w:p>
            <w:pPr>
              <w:spacing w:after="20" w:before="20"/>
            </w:pPr>
            <w:r/>
            <w:r>
              <w:rPr>
                <w:rFonts w:ascii="Aptos" w:hAnsi="Aptos"/>
                <w:b/>
                <w:color w:val="10283D"/>
                <w:sz w:val="14"/>
              </w:rPr>
              <w:t>13</w:t>
            </w:r>
          </w:p>
        </w:tc>
        <w:tc>
          <w:tcPr>
            <w:tcW w:type="dxa" w:w="2880"/>
            <w:vAlign w:val="center"/>
            <w:shd w:fill="EAF4F6"/>
          </w:tcPr>
          <w:p>
            <w:pPr>
              <w:spacing w:after="20" w:before="20"/>
            </w:pPr>
            <w:r/>
            <w:r>
              <w:rPr>
                <w:rFonts w:ascii="Aptos" w:hAnsi="Aptos"/>
                <w:b w:val="0"/>
                <w:color w:val="243746"/>
                <w:sz w:val="14"/>
              </w:rPr>
              <w:t>Deployment, Performance and Observability</w:t>
            </w:r>
          </w:p>
        </w:tc>
        <w:tc>
          <w:tcPr>
            <w:tcW w:type="dxa" w:w="6048"/>
            <w:vAlign w:val="center"/>
            <w:shd w:fill="EAF4F6"/>
          </w:tcPr>
          <w:p>
            <w:pPr>
              <w:spacing w:after="20" w:before="20"/>
            </w:pPr>
            <w:r/>
            <w:r>
              <w:rPr>
                <w:rFonts w:ascii="Aptos" w:hAnsi="Aptos"/>
                <w:b w:val="0"/>
                <w:color w:val="243746"/>
                <w:sz w:val="14"/>
              </w:rPr>
              <w:t>Deployment patterns; environment configuration; latency; throughput; cost controls; logs; traces; monitoring and versioning.</w:t>
            </w:r>
          </w:p>
        </w:tc>
      </w:tr>
      <w:tr>
        <w:tc>
          <w:tcPr>
            <w:tcW w:type="dxa" w:w="792"/>
            <w:vAlign w:val="center"/>
            <w:shd w:fill="F6F9FA"/>
          </w:tcPr>
          <w:p>
            <w:pPr>
              <w:spacing w:after="20" w:before="20"/>
            </w:pPr>
            <w:r/>
            <w:r>
              <w:rPr>
                <w:rFonts w:ascii="Aptos" w:hAnsi="Aptos"/>
                <w:b/>
                <w:color w:val="10283D"/>
                <w:sz w:val="14"/>
              </w:rPr>
              <w:t>14</w:t>
            </w:r>
          </w:p>
        </w:tc>
        <w:tc>
          <w:tcPr>
            <w:tcW w:type="dxa" w:w="2880"/>
            <w:vAlign w:val="center"/>
            <w:shd w:fill="F6F9FA"/>
          </w:tcPr>
          <w:p>
            <w:pPr>
              <w:spacing w:after="20" w:before="20"/>
            </w:pPr>
            <w:r/>
            <w:r>
              <w:rPr>
                <w:rFonts w:ascii="Aptos" w:hAnsi="Aptos"/>
                <w:b w:val="0"/>
                <w:color w:val="243746"/>
                <w:sz w:val="14"/>
              </w:rPr>
              <w:t>AI Security, Privacy and Risk</w:t>
            </w:r>
          </w:p>
        </w:tc>
        <w:tc>
          <w:tcPr>
            <w:tcW w:type="dxa" w:w="6048"/>
            <w:vAlign w:val="center"/>
            <w:shd w:fill="F6F9FA"/>
          </w:tcPr>
          <w:p>
            <w:pPr>
              <w:spacing w:after="20" w:before="20"/>
            </w:pPr>
            <w:r/>
            <w:r>
              <w:rPr>
                <w:rFonts w:ascii="Aptos" w:hAnsi="Aptos"/>
                <w:b w:val="0"/>
                <w:color w:val="243746"/>
                <w:sz w:val="14"/>
              </w:rPr>
              <w:t>Data protection; access control; prompt injection; data leakage; secure tool use; human oversight; risk assessment.</w:t>
            </w:r>
          </w:p>
        </w:tc>
      </w:tr>
      <w:tr>
        <w:tc>
          <w:tcPr>
            <w:tcW w:type="dxa" w:w="792"/>
            <w:vAlign w:val="center"/>
            <w:shd w:fill="EAF4F6"/>
          </w:tcPr>
          <w:p>
            <w:pPr>
              <w:spacing w:after="20" w:before="20"/>
            </w:pPr>
            <w:r/>
            <w:r>
              <w:rPr>
                <w:rFonts w:ascii="Aptos" w:hAnsi="Aptos"/>
                <w:b/>
                <w:color w:val="10283D"/>
                <w:sz w:val="14"/>
              </w:rPr>
              <w:t>15</w:t>
            </w:r>
          </w:p>
        </w:tc>
        <w:tc>
          <w:tcPr>
            <w:tcW w:type="dxa" w:w="2880"/>
            <w:vAlign w:val="center"/>
            <w:shd w:fill="EAF4F6"/>
          </w:tcPr>
          <w:p>
            <w:pPr>
              <w:spacing w:after="20" w:before="20"/>
            </w:pPr>
            <w:r/>
            <w:r>
              <w:rPr>
                <w:rFonts w:ascii="Aptos" w:hAnsi="Aptos"/>
                <w:b w:val="0"/>
                <w:color w:val="243746"/>
                <w:sz w:val="14"/>
              </w:rPr>
              <w:t>AI Governance and Compliance</w:t>
            </w:r>
          </w:p>
        </w:tc>
        <w:tc>
          <w:tcPr>
            <w:tcW w:type="dxa" w:w="6048"/>
            <w:vAlign w:val="center"/>
            <w:shd w:fill="EAF4F6"/>
          </w:tcPr>
          <w:p>
            <w:pPr>
              <w:spacing w:after="20" w:before="20"/>
            </w:pPr>
            <w:r/>
            <w:r>
              <w:rPr>
                <w:rFonts w:ascii="Aptos" w:hAnsi="Aptos"/>
                <w:b w:val="0"/>
                <w:color w:val="243746"/>
                <w:sz w:val="14"/>
              </w:rPr>
              <w:t>Responsible AI; governance practices; EU AI Act overview; ISO/IEC 42001; NIST AI Risk Management Framework; organizational accountability.</w:t>
            </w:r>
          </w:p>
        </w:tc>
      </w:tr>
      <w:tr>
        <w:tc>
          <w:tcPr>
            <w:tcW w:type="dxa" w:w="792"/>
            <w:vAlign w:val="center"/>
            <w:shd w:fill="F6F9FA"/>
          </w:tcPr>
          <w:p>
            <w:pPr>
              <w:spacing w:after="20" w:before="20"/>
            </w:pPr>
            <w:r/>
            <w:r>
              <w:rPr>
                <w:rFonts w:ascii="Aptos" w:hAnsi="Aptos"/>
                <w:b/>
                <w:color w:val="10283D"/>
                <w:sz w:val="14"/>
              </w:rPr>
              <w:t>16</w:t>
            </w:r>
          </w:p>
        </w:tc>
        <w:tc>
          <w:tcPr>
            <w:tcW w:type="dxa" w:w="2880"/>
            <w:vAlign w:val="center"/>
            <w:shd w:fill="F6F9FA"/>
          </w:tcPr>
          <w:p>
            <w:pPr>
              <w:spacing w:after="20" w:before="20"/>
            </w:pPr>
            <w:r/>
            <w:r>
              <w:rPr>
                <w:rFonts w:ascii="Aptos" w:hAnsi="Aptos"/>
                <w:b w:val="0"/>
                <w:color w:val="243746"/>
                <w:sz w:val="14"/>
              </w:rPr>
              <w:t>Advanced Capstone and Professional Assessment</w:t>
            </w:r>
          </w:p>
        </w:tc>
        <w:tc>
          <w:tcPr>
            <w:tcW w:type="dxa" w:w="6048"/>
            <w:vAlign w:val="center"/>
            <w:shd w:fill="F6F9FA"/>
          </w:tcPr>
          <w:p>
            <w:pPr>
              <w:spacing w:after="20" w:before="20"/>
            </w:pPr>
            <w:r/>
            <w:r>
              <w:rPr>
                <w:rFonts w:ascii="Aptos" w:hAnsi="Aptos"/>
                <w:b w:val="0"/>
                <w:color w:val="243746"/>
                <w:sz w:val="14"/>
              </w:rPr>
              <w:t>Design, build, evaluate and present an agentic or multimodal AI solution; architecture, demo, risk review and business case.</w:t>
            </w:r>
          </w:p>
        </w:tc>
      </w:tr>
    </w:tbl>
    <w:p>
      <w:pPr>
        <w:spacing w:after="20"/>
      </w:pPr>
    </w:p>
    <w:p>
      <w:pPr>
        <w:pStyle w:val="Heading2"/>
      </w:pPr>
      <w:r>
        <w:t>Advanced tools and technologies</w:t>
      </w:r>
    </w:p>
    <w:tbl>
      <w:tblPr>
        <w:tblW w:type="auto" w:w="0"/>
        <w:jc w:val="center"/>
        <w:tblLayout w:type="fixed"/>
        <w:tblLook w:firstColumn="1" w:firstRow="1" w:lastColumn="0" w:lastRow="0" w:noHBand="0" w:noVBand="1" w:val="04A0"/>
      </w:tblPr>
      <w:tblGrid>
        <w:gridCol w:w="5141"/>
        <w:gridCol w:w="5141"/>
      </w:tblGrid>
      <w:tr>
        <w:tc>
          <w:tcPr>
            <w:tcW w:type="dxa" w:w="2376"/>
            <w:vAlign w:val="center"/>
            <w:shd w:fill="10283D"/>
          </w:tcPr>
          <w:p>
            <w:pPr>
              <w:spacing w:after="20" w:before="20"/>
            </w:pPr>
            <w:r/>
            <w:r>
              <w:rPr>
                <w:rFonts w:ascii="Aptos" w:hAnsi="Aptos"/>
                <w:b/>
                <w:color w:val="FFFFFF"/>
                <w:sz w:val="16"/>
              </w:rPr>
              <w:t>Area</w:t>
            </w:r>
          </w:p>
        </w:tc>
        <w:tc>
          <w:tcPr>
            <w:tcW w:type="dxa" w:w="6840"/>
            <w:vAlign w:val="center"/>
            <w:shd w:fill="10283D"/>
          </w:tcPr>
          <w:p>
            <w:pPr>
              <w:spacing w:after="20" w:before="20"/>
            </w:pPr>
            <w:r/>
            <w:r>
              <w:rPr>
                <w:rFonts w:ascii="Aptos" w:hAnsi="Aptos"/>
                <w:b/>
                <w:color w:val="FFFFFF"/>
                <w:sz w:val="16"/>
              </w:rPr>
              <w:t>Tools / frameworks / standards</w:t>
            </w:r>
          </w:p>
        </w:tc>
      </w:tr>
      <w:tr>
        <w:tc>
          <w:tcPr>
            <w:tcW w:type="dxa" w:w="2376"/>
            <w:vAlign w:val="center"/>
            <w:shd w:fill="EAF4F6"/>
          </w:tcPr>
          <w:p>
            <w:pPr>
              <w:spacing w:after="20" w:before="20"/>
            </w:pPr>
            <w:r/>
            <w:r>
              <w:rPr>
                <w:rFonts w:ascii="Aptos" w:hAnsi="Aptos"/>
                <w:b/>
                <w:color w:val="10283D"/>
                <w:sz w:val="15"/>
              </w:rPr>
              <w:t>Agentic frameworks</w:t>
            </w:r>
          </w:p>
        </w:tc>
        <w:tc>
          <w:tcPr>
            <w:tcW w:type="dxa" w:w="6840"/>
            <w:vAlign w:val="center"/>
            <w:shd w:fill="EAF4F6"/>
          </w:tcPr>
          <w:p>
            <w:pPr>
              <w:spacing w:after="20" w:before="20"/>
            </w:pPr>
            <w:r/>
            <w:r>
              <w:rPr>
                <w:rFonts w:ascii="Aptos" w:hAnsi="Aptos"/>
                <w:b w:val="0"/>
                <w:color w:val="243746"/>
                <w:sz w:val="15"/>
              </w:rPr>
              <w:t>LangGraph, CrewAI, AutoGen</w:t>
            </w:r>
          </w:p>
        </w:tc>
      </w:tr>
      <w:tr>
        <w:tc>
          <w:tcPr>
            <w:tcW w:type="dxa" w:w="2376"/>
            <w:vAlign w:val="center"/>
            <w:shd w:fill="F6F9FA"/>
          </w:tcPr>
          <w:p>
            <w:pPr>
              <w:spacing w:after="20" w:before="20"/>
            </w:pPr>
            <w:r/>
            <w:r>
              <w:rPr>
                <w:rFonts w:ascii="Aptos" w:hAnsi="Aptos"/>
                <w:b/>
                <w:color w:val="10283D"/>
                <w:sz w:val="15"/>
              </w:rPr>
              <w:t>Agent connectivity</w:t>
            </w:r>
          </w:p>
        </w:tc>
        <w:tc>
          <w:tcPr>
            <w:tcW w:type="dxa" w:w="6840"/>
            <w:vAlign w:val="center"/>
            <w:shd w:fill="F6F9FA"/>
          </w:tcPr>
          <w:p>
            <w:pPr>
              <w:spacing w:after="20" w:before="20"/>
            </w:pPr>
            <w:r/>
            <w:r>
              <w:rPr>
                <w:rFonts w:ascii="Aptos" w:hAnsi="Aptos"/>
                <w:b w:val="0"/>
                <w:color w:val="243746"/>
                <w:sz w:val="15"/>
              </w:rPr>
              <w:t>Model Context Protocol (MCP), tool calling and function calling</w:t>
            </w:r>
          </w:p>
        </w:tc>
      </w:tr>
      <w:tr>
        <w:tc>
          <w:tcPr>
            <w:tcW w:type="dxa" w:w="2376"/>
            <w:vAlign w:val="center"/>
            <w:shd w:fill="EAF4F6"/>
          </w:tcPr>
          <w:p>
            <w:pPr>
              <w:spacing w:after="20" w:before="20"/>
            </w:pPr>
            <w:r/>
            <w:r>
              <w:rPr>
                <w:rFonts w:ascii="Aptos" w:hAnsi="Aptos"/>
                <w:b/>
                <w:color w:val="10283D"/>
                <w:sz w:val="15"/>
              </w:rPr>
              <w:t>Model ecosystem</w:t>
            </w:r>
          </w:p>
        </w:tc>
        <w:tc>
          <w:tcPr>
            <w:tcW w:type="dxa" w:w="6840"/>
            <w:vAlign w:val="center"/>
            <w:shd w:fill="EAF4F6"/>
          </w:tcPr>
          <w:p>
            <w:pPr>
              <w:spacing w:after="20" w:before="20"/>
            </w:pPr>
            <w:r/>
            <w:r>
              <w:rPr>
                <w:rFonts w:ascii="Aptos" w:hAnsi="Aptos"/>
                <w:b w:val="0"/>
                <w:color w:val="243746"/>
                <w:sz w:val="15"/>
              </w:rPr>
              <w:t>OpenAI, Gemini, Anthropic Claude, Hugging Face, Meta Llama, Amazon Bedrock</w:t>
            </w:r>
          </w:p>
        </w:tc>
      </w:tr>
      <w:tr>
        <w:tc>
          <w:tcPr>
            <w:tcW w:type="dxa" w:w="2376"/>
            <w:vAlign w:val="center"/>
            <w:shd w:fill="F6F9FA"/>
          </w:tcPr>
          <w:p>
            <w:pPr>
              <w:spacing w:after="20" w:before="20"/>
            </w:pPr>
            <w:r/>
            <w:r>
              <w:rPr>
                <w:rFonts w:ascii="Aptos" w:hAnsi="Aptos"/>
                <w:b/>
                <w:color w:val="10283D"/>
                <w:sz w:val="15"/>
              </w:rPr>
              <w:t>Multimodal generation</w:t>
            </w:r>
          </w:p>
        </w:tc>
        <w:tc>
          <w:tcPr>
            <w:tcW w:type="dxa" w:w="6840"/>
            <w:vAlign w:val="center"/>
            <w:shd w:fill="F6F9FA"/>
          </w:tcPr>
          <w:p>
            <w:pPr>
              <w:spacing w:after="20" w:before="20"/>
            </w:pPr>
            <w:r/>
            <w:r>
              <w:rPr>
                <w:rFonts w:ascii="Aptos" w:hAnsi="Aptos"/>
                <w:b w:val="0"/>
                <w:color w:val="243746"/>
                <w:sz w:val="15"/>
              </w:rPr>
              <w:t>Image generation and editing, audio, speech and video generation tools</w:t>
            </w:r>
          </w:p>
        </w:tc>
      </w:tr>
      <w:tr>
        <w:tc>
          <w:tcPr>
            <w:tcW w:type="dxa" w:w="2376"/>
            <w:vAlign w:val="center"/>
            <w:shd w:fill="EAF4F6"/>
          </w:tcPr>
          <w:p>
            <w:pPr>
              <w:spacing w:after="20" w:before="20"/>
            </w:pPr>
            <w:r/>
            <w:r>
              <w:rPr>
                <w:rFonts w:ascii="Aptos" w:hAnsi="Aptos"/>
                <w:b/>
                <w:color w:val="10283D"/>
                <w:sz w:val="15"/>
              </w:rPr>
              <w:t>RAG and retrieval</w:t>
            </w:r>
          </w:p>
        </w:tc>
        <w:tc>
          <w:tcPr>
            <w:tcW w:type="dxa" w:w="6840"/>
            <w:vAlign w:val="center"/>
            <w:shd w:fill="EAF4F6"/>
          </w:tcPr>
          <w:p>
            <w:pPr>
              <w:spacing w:after="20" w:before="20"/>
            </w:pPr>
            <w:r/>
            <w:r>
              <w:rPr>
                <w:rFonts w:ascii="Aptos" w:hAnsi="Aptos"/>
                <w:b w:val="0"/>
                <w:color w:val="243746"/>
                <w:sz w:val="15"/>
              </w:rPr>
              <w:t>Advanced LangChain/LangGraph patterns, vector stores, retrieval evaluation</w:t>
            </w:r>
          </w:p>
        </w:tc>
      </w:tr>
      <w:tr>
        <w:tc>
          <w:tcPr>
            <w:tcW w:type="dxa" w:w="2376"/>
            <w:vAlign w:val="center"/>
            <w:shd w:fill="F6F9FA"/>
          </w:tcPr>
          <w:p>
            <w:pPr>
              <w:spacing w:after="20" w:before="20"/>
            </w:pPr>
            <w:r/>
            <w:r>
              <w:rPr>
                <w:rFonts w:ascii="Aptos" w:hAnsi="Aptos"/>
                <w:b/>
                <w:color w:val="10283D"/>
                <w:sz w:val="15"/>
              </w:rPr>
              <w:t>Governance</w:t>
            </w:r>
          </w:p>
        </w:tc>
        <w:tc>
          <w:tcPr>
            <w:tcW w:type="dxa" w:w="6840"/>
            <w:vAlign w:val="center"/>
            <w:shd w:fill="F6F9FA"/>
          </w:tcPr>
          <w:p>
            <w:pPr>
              <w:spacing w:after="20" w:before="20"/>
            </w:pPr>
            <w:r/>
            <w:r>
              <w:rPr>
                <w:rFonts w:ascii="Aptos" w:hAnsi="Aptos"/>
                <w:b w:val="0"/>
                <w:color w:val="243746"/>
                <w:sz w:val="15"/>
              </w:rPr>
              <w:t>EU AI Act, ISO/IEC 42001, NIST AI RMF</w:t>
            </w:r>
          </w:p>
        </w:tc>
      </w:tr>
    </w:tbl>
    <w:p>
      <w:pPr>
        <w:spacing w:after="20"/>
      </w:pPr>
    </w:p>
    <w:p>
      <w:pPr>
        <w:pStyle w:val="Heading2"/>
      </w:pPr>
      <w:r>
        <w:t>Advanced practical projects</w:t>
      </w:r>
    </w:p>
    <w:p>
      <w:pPr>
        <w:pStyle w:val="ListBullet"/>
        <w:spacing w:after="20"/>
      </w:pPr>
      <w:r>
        <w:t>Multi-agent business workflow using CrewAI or AutoGen with clear roles and approval boundaries.</w:t>
      </w:r>
    </w:p>
    <w:p>
      <w:pPr>
        <w:pStyle w:val="ListBullet"/>
        <w:spacing w:after="20"/>
      </w:pPr>
      <w:r>
        <w:t>MCP-enabled assistant that accesses approved tools or information sources.</w:t>
      </w:r>
    </w:p>
    <w:p>
      <w:pPr>
        <w:pStyle w:val="ListBullet"/>
        <w:spacing w:after="20"/>
      </w:pPr>
      <w:r>
        <w:t>Advanced RAG assistant with retrieval evaluation and grounded answers.</w:t>
      </w:r>
    </w:p>
    <w:p>
      <w:pPr>
        <w:pStyle w:val="ListBullet"/>
        <w:spacing w:after="20"/>
      </w:pPr>
      <w:r>
        <w:t>Multimodal content workflow that combines text, image, audio or video capabilities.</w:t>
      </w:r>
    </w:p>
    <w:p>
      <w:pPr>
        <w:pStyle w:val="ListBullet"/>
        <w:spacing w:after="20"/>
      </w:pPr>
      <w:r>
        <w:t>Production-oriented AI application with monitoring, cost controls and a documented risk assessment.</w:t>
      </w:r>
    </w:p>
    <w:p>
      <w:pPr>
        <w:pStyle w:val="Heading2"/>
      </w:pPr>
      <w:r>
        <w:t>Advanced learning outcomes</w:t>
      </w:r>
    </w:p>
    <w:p>
      <w:pPr>
        <w:pStyle w:val="ListBullet"/>
        <w:spacing w:after="20"/>
      </w:pPr>
      <w:r>
        <w:t>Design and orchestrate stateful workflows and multi-agent systems.</w:t>
      </w:r>
    </w:p>
    <w:p>
      <w:pPr>
        <w:pStyle w:val="ListBullet"/>
        <w:spacing w:after="20"/>
      </w:pPr>
      <w:r>
        <w:t>Understand MCP and controlled integration with external tools and context.</w:t>
      </w:r>
    </w:p>
    <w:p>
      <w:pPr>
        <w:pStyle w:val="ListBullet"/>
        <w:spacing w:after="20"/>
      </w:pPr>
      <w:r>
        <w:t>Build advanced RAG and multimodal AI experiences.</w:t>
      </w:r>
    </w:p>
    <w:p>
      <w:pPr>
        <w:pStyle w:val="ListBullet"/>
        <w:spacing w:after="20"/>
      </w:pPr>
      <w:r>
        <w:t>Select suitable hosted or open-weight models for a use case.</w:t>
      </w:r>
    </w:p>
    <w:p>
      <w:pPr>
        <w:pStyle w:val="ListBullet"/>
        <w:spacing w:after="20"/>
      </w:pPr>
      <w:r>
        <w:t>Plan deployment, evaluation, monitoring, security and cost management.</w:t>
      </w:r>
    </w:p>
    <w:p>
      <w:pPr>
        <w:pStyle w:val="ListBullet"/>
        <w:spacing w:after="20"/>
      </w:pPr>
      <w:r>
        <w:t>Apply governance frameworks and communicate AI risks and safeguards.</w:t>
      </w:r>
    </w:p>
    <w:p>
      <w:r>
        <w:br w:type="page"/>
      </w:r>
    </w:p>
    <w:p>
      <w:pPr>
        <w:pStyle w:val="Heading1"/>
      </w:pPr>
      <w:r>
        <w:t>6. AI tools ecosystem — where each tool fits</w:t>
      </w:r>
    </w:p>
    <w:tbl>
      <w:tblPr>
        <w:tblW w:type="auto" w:w="0"/>
        <w:jc w:val="center"/>
        <w:tblLayout w:type="fixed"/>
        <w:tblLook w:firstColumn="1" w:firstRow="1" w:lastColumn="0" w:lastRow="0" w:noHBand="0" w:noVBand="1" w:val="04A0"/>
      </w:tblPr>
      <w:tblGrid>
        <w:gridCol w:w="5141"/>
        <w:gridCol w:w="5141"/>
      </w:tblGrid>
      <w:tr>
        <w:tc>
          <w:tcPr>
            <w:tcW w:type="dxa" w:w="2880"/>
            <w:vAlign w:val="center"/>
            <w:shd w:fill="10283D"/>
          </w:tcPr>
          <w:p>
            <w:pPr>
              <w:spacing w:after="20" w:before="20"/>
            </w:pPr>
            <w:r/>
            <w:r>
              <w:rPr>
                <w:rFonts w:ascii="Aptos" w:hAnsi="Aptos"/>
                <w:b/>
                <w:color w:val="FFFFFF"/>
                <w:sz w:val="16"/>
              </w:rPr>
              <w:t>Provider / tool</w:t>
            </w:r>
          </w:p>
        </w:tc>
        <w:tc>
          <w:tcPr>
            <w:tcW w:type="dxa" w:w="6336"/>
            <w:vAlign w:val="center"/>
            <w:shd w:fill="10283D"/>
          </w:tcPr>
          <w:p>
            <w:pPr>
              <w:spacing w:after="20" w:before="20"/>
            </w:pPr>
            <w:r/>
            <w:r>
              <w:rPr>
                <w:rFonts w:ascii="Aptos" w:hAnsi="Aptos"/>
                <w:b/>
                <w:color w:val="FFFFFF"/>
                <w:sz w:val="16"/>
              </w:rPr>
              <w:t>Role in the learning journey</w:t>
            </w:r>
          </w:p>
        </w:tc>
      </w:tr>
      <w:tr>
        <w:tc>
          <w:tcPr>
            <w:tcW w:type="dxa" w:w="2880"/>
            <w:vAlign w:val="center"/>
            <w:shd w:fill="EAF4F6"/>
          </w:tcPr>
          <w:p>
            <w:pPr>
              <w:spacing w:after="20" w:before="20"/>
            </w:pPr>
            <w:r/>
            <w:r>
              <w:rPr>
                <w:rFonts w:ascii="Aptos" w:hAnsi="Aptos"/>
                <w:b/>
                <w:color w:val="10283D"/>
                <w:sz w:val="15"/>
              </w:rPr>
              <w:t>OpenAI / ChatGPT / OpenAI API</w:t>
            </w:r>
          </w:p>
        </w:tc>
        <w:tc>
          <w:tcPr>
            <w:tcW w:type="dxa" w:w="6336"/>
            <w:vAlign w:val="center"/>
            <w:shd w:fill="EAF4F6"/>
          </w:tcPr>
          <w:p>
            <w:pPr>
              <w:spacing w:after="20" w:before="20"/>
            </w:pPr>
            <w:r/>
            <w:r>
              <w:rPr>
                <w:rFonts w:ascii="Aptos" w:hAnsi="Aptos"/>
                <w:b w:val="0"/>
                <w:color w:val="243746"/>
                <w:sz w:val="15"/>
              </w:rPr>
              <w:t>AI assistant, model access, API-based application development, structured output and tool calling.</w:t>
            </w:r>
          </w:p>
        </w:tc>
      </w:tr>
      <w:tr>
        <w:tc>
          <w:tcPr>
            <w:tcW w:type="dxa" w:w="2880"/>
            <w:vAlign w:val="center"/>
            <w:shd w:fill="F6F9FA"/>
          </w:tcPr>
          <w:p>
            <w:pPr>
              <w:spacing w:after="20" w:before="20"/>
            </w:pPr>
            <w:r/>
            <w:r>
              <w:rPr>
                <w:rFonts w:ascii="Aptos" w:hAnsi="Aptos"/>
                <w:b/>
                <w:color w:val="10283D"/>
                <w:sz w:val="15"/>
              </w:rPr>
              <w:t>Google Gemini / Gemini API / AI Studio</w:t>
            </w:r>
          </w:p>
        </w:tc>
        <w:tc>
          <w:tcPr>
            <w:tcW w:type="dxa" w:w="6336"/>
            <w:vAlign w:val="center"/>
            <w:shd w:fill="F6F9FA"/>
          </w:tcPr>
          <w:p>
            <w:pPr>
              <w:spacing w:after="20" w:before="20"/>
            </w:pPr>
            <w:r/>
            <w:r>
              <w:rPr>
                <w:rFonts w:ascii="Aptos" w:hAnsi="Aptos"/>
                <w:b w:val="0"/>
                <w:color w:val="243746"/>
                <w:sz w:val="15"/>
              </w:rPr>
              <w:t>Multimodal AI assistant, model experimentation and API integration.</w:t>
            </w:r>
          </w:p>
        </w:tc>
      </w:tr>
      <w:tr>
        <w:tc>
          <w:tcPr>
            <w:tcW w:type="dxa" w:w="2880"/>
            <w:vAlign w:val="center"/>
            <w:shd w:fill="EAF4F6"/>
          </w:tcPr>
          <w:p>
            <w:pPr>
              <w:spacing w:after="20" w:before="20"/>
            </w:pPr>
            <w:r/>
            <w:r>
              <w:rPr>
                <w:rFonts w:ascii="Aptos" w:hAnsi="Aptos"/>
                <w:b/>
                <w:color w:val="10283D"/>
                <w:sz w:val="15"/>
              </w:rPr>
              <w:t>Anthropic Claude / Claude API</w:t>
            </w:r>
          </w:p>
        </w:tc>
        <w:tc>
          <w:tcPr>
            <w:tcW w:type="dxa" w:w="6336"/>
            <w:vAlign w:val="center"/>
            <w:shd w:fill="EAF4F6"/>
          </w:tcPr>
          <w:p>
            <w:pPr>
              <w:spacing w:after="20" w:before="20"/>
            </w:pPr>
            <w:r/>
            <w:r>
              <w:rPr>
                <w:rFonts w:ascii="Aptos" w:hAnsi="Aptos"/>
                <w:b w:val="0"/>
                <w:color w:val="243746"/>
                <w:sz w:val="15"/>
              </w:rPr>
              <w:t>Assistant for analysis, writing, coding and long-context workflows; API-based model integration.</w:t>
            </w:r>
          </w:p>
        </w:tc>
      </w:tr>
      <w:tr>
        <w:tc>
          <w:tcPr>
            <w:tcW w:type="dxa" w:w="2880"/>
            <w:vAlign w:val="center"/>
            <w:shd w:fill="F6F9FA"/>
          </w:tcPr>
          <w:p>
            <w:pPr>
              <w:spacing w:after="20" w:before="20"/>
            </w:pPr>
            <w:r/>
            <w:r>
              <w:rPr>
                <w:rFonts w:ascii="Aptos" w:hAnsi="Aptos"/>
                <w:b/>
                <w:color w:val="10283D"/>
                <w:sz w:val="15"/>
              </w:rPr>
              <w:t>Microsoft Copilot</w:t>
            </w:r>
          </w:p>
        </w:tc>
        <w:tc>
          <w:tcPr>
            <w:tcW w:type="dxa" w:w="6336"/>
            <w:vAlign w:val="center"/>
            <w:shd w:fill="F6F9FA"/>
          </w:tcPr>
          <w:p>
            <w:pPr>
              <w:spacing w:after="20" w:before="20"/>
            </w:pPr>
            <w:r/>
            <w:r>
              <w:rPr>
                <w:rFonts w:ascii="Aptos" w:hAnsi="Aptos"/>
                <w:b w:val="0"/>
                <w:color w:val="243746"/>
                <w:sz w:val="15"/>
              </w:rPr>
              <w:t>Workplace productivity and Microsoft ecosystem assistance.</w:t>
            </w:r>
          </w:p>
        </w:tc>
      </w:tr>
      <w:tr>
        <w:tc>
          <w:tcPr>
            <w:tcW w:type="dxa" w:w="2880"/>
            <w:vAlign w:val="center"/>
            <w:shd w:fill="EAF4F6"/>
          </w:tcPr>
          <w:p>
            <w:pPr>
              <w:spacing w:after="20" w:before="20"/>
            </w:pPr>
            <w:r/>
            <w:r>
              <w:rPr>
                <w:rFonts w:ascii="Aptos" w:hAnsi="Aptos"/>
                <w:b/>
                <w:color w:val="10283D"/>
                <w:sz w:val="15"/>
              </w:rPr>
              <w:t>Hugging Face</w:t>
            </w:r>
          </w:p>
        </w:tc>
        <w:tc>
          <w:tcPr>
            <w:tcW w:type="dxa" w:w="6336"/>
            <w:vAlign w:val="center"/>
            <w:shd w:fill="EAF4F6"/>
          </w:tcPr>
          <w:p>
            <w:pPr>
              <w:spacing w:after="20" w:before="20"/>
            </w:pPr>
            <w:r/>
            <w:r>
              <w:rPr>
                <w:rFonts w:ascii="Aptos" w:hAnsi="Aptos"/>
                <w:b w:val="0"/>
                <w:color w:val="243746"/>
                <w:sz w:val="15"/>
              </w:rPr>
              <w:t>Model discovery, open-source model ecosystem, datasets and developer resources.</w:t>
            </w:r>
          </w:p>
        </w:tc>
      </w:tr>
      <w:tr>
        <w:tc>
          <w:tcPr>
            <w:tcW w:type="dxa" w:w="2880"/>
            <w:vAlign w:val="center"/>
            <w:shd w:fill="F6F9FA"/>
          </w:tcPr>
          <w:p>
            <w:pPr>
              <w:spacing w:after="20" w:before="20"/>
            </w:pPr>
            <w:r/>
            <w:r>
              <w:rPr>
                <w:rFonts w:ascii="Aptos" w:hAnsi="Aptos"/>
                <w:b/>
                <w:color w:val="10283D"/>
                <w:sz w:val="15"/>
              </w:rPr>
              <w:t>Meta Llama</w:t>
            </w:r>
          </w:p>
        </w:tc>
        <w:tc>
          <w:tcPr>
            <w:tcW w:type="dxa" w:w="6336"/>
            <w:vAlign w:val="center"/>
            <w:shd w:fill="F6F9FA"/>
          </w:tcPr>
          <w:p>
            <w:pPr>
              <w:spacing w:after="20" w:before="20"/>
            </w:pPr>
            <w:r/>
            <w:r>
              <w:rPr>
                <w:rFonts w:ascii="Aptos" w:hAnsi="Aptos"/>
                <w:b w:val="0"/>
                <w:color w:val="243746"/>
                <w:sz w:val="15"/>
              </w:rPr>
              <w:t>Open-weight model family for experimentation and application deployment choices.</w:t>
            </w:r>
          </w:p>
        </w:tc>
      </w:tr>
      <w:tr>
        <w:tc>
          <w:tcPr>
            <w:tcW w:type="dxa" w:w="2880"/>
            <w:vAlign w:val="center"/>
            <w:shd w:fill="EAF4F6"/>
          </w:tcPr>
          <w:p>
            <w:pPr>
              <w:spacing w:after="20" w:before="20"/>
            </w:pPr>
            <w:r/>
            <w:r>
              <w:rPr>
                <w:rFonts w:ascii="Aptos" w:hAnsi="Aptos"/>
                <w:b/>
                <w:color w:val="10283D"/>
                <w:sz w:val="15"/>
              </w:rPr>
              <w:t>Amazon Bedrock</w:t>
            </w:r>
          </w:p>
        </w:tc>
        <w:tc>
          <w:tcPr>
            <w:tcW w:type="dxa" w:w="6336"/>
            <w:vAlign w:val="center"/>
            <w:shd w:fill="EAF4F6"/>
          </w:tcPr>
          <w:p>
            <w:pPr>
              <w:spacing w:after="20" w:before="20"/>
            </w:pPr>
            <w:r/>
            <w:r>
              <w:rPr>
                <w:rFonts w:ascii="Aptos" w:hAnsi="Aptos"/>
                <w:b w:val="0"/>
                <w:color w:val="243746"/>
                <w:sz w:val="15"/>
              </w:rPr>
              <w:t>Managed access to foundation models and enterprise-oriented model application services.</w:t>
            </w:r>
          </w:p>
        </w:tc>
      </w:tr>
      <w:tr>
        <w:tc>
          <w:tcPr>
            <w:tcW w:type="dxa" w:w="2880"/>
            <w:vAlign w:val="center"/>
            <w:shd w:fill="F6F9FA"/>
          </w:tcPr>
          <w:p>
            <w:pPr>
              <w:spacing w:after="20" w:before="20"/>
            </w:pPr>
            <w:r/>
            <w:r>
              <w:rPr>
                <w:rFonts w:ascii="Aptos" w:hAnsi="Aptos"/>
                <w:b/>
                <w:color w:val="10283D"/>
                <w:sz w:val="15"/>
              </w:rPr>
              <w:t>LangChain</w:t>
            </w:r>
          </w:p>
        </w:tc>
        <w:tc>
          <w:tcPr>
            <w:tcW w:type="dxa" w:w="6336"/>
            <w:vAlign w:val="center"/>
            <w:shd w:fill="F6F9FA"/>
          </w:tcPr>
          <w:p>
            <w:pPr>
              <w:spacing w:after="20" w:before="20"/>
            </w:pPr>
            <w:r/>
            <w:r>
              <w:rPr>
                <w:rFonts w:ascii="Aptos" w:hAnsi="Aptos"/>
                <w:b w:val="0"/>
                <w:color w:val="243746"/>
                <w:sz w:val="15"/>
              </w:rPr>
              <w:t>Framework for model integrations, prompts, chains, retrieval and application workflows.</w:t>
            </w:r>
          </w:p>
        </w:tc>
      </w:tr>
      <w:tr>
        <w:tc>
          <w:tcPr>
            <w:tcW w:type="dxa" w:w="2880"/>
            <w:vAlign w:val="center"/>
            <w:shd w:fill="EAF4F6"/>
          </w:tcPr>
          <w:p>
            <w:pPr>
              <w:spacing w:after="20" w:before="20"/>
            </w:pPr>
            <w:r/>
            <w:r>
              <w:rPr>
                <w:rFonts w:ascii="Aptos" w:hAnsi="Aptos"/>
                <w:b/>
                <w:color w:val="10283D"/>
                <w:sz w:val="15"/>
              </w:rPr>
              <w:t>LangGraph</w:t>
            </w:r>
          </w:p>
        </w:tc>
        <w:tc>
          <w:tcPr>
            <w:tcW w:type="dxa" w:w="6336"/>
            <w:vAlign w:val="center"/>
            <w:shd w:fill="EAF4F6"/>
          </w:tcPr>
          <w:p>
            <w:pPr>
              <w:spacing w:after="20" w:before="20"/>
            </w:pPr>
            <w:r/>
            <w:r>
              <w:rPr>
                <w:rFonts w:ascii="Aptos" w:hAnsi="Aptos"/>
                <w:b w:val="0"/>
                <w:color w:val="243746"/>
                <w:sz w:val="15"/>
              </w:rPr>
              <w:t>Graph-based orchestration for stateful, branching and agentic workflows.</w:t>
            </w:r>
          </w:p>
        </w:tc>
      </w:tr>
      <w:tr>
        <w:tc>
          <w:tcPr>
            <w:tcW w:type="dxa" w:w="2880"/>
            <w:vAlign w:val="center"/>
            <w:shd w:fill="F6F9FA"/>
          </w:tcPr>
          <w:p>
            <w:pPr>
              <w:spacing w:after="20" w:before="20"/>
            </w:pPr>
            <w:r/>
            <w:r>
              <w:rPr>
                <w:rFonts w:ascii="Aptos" w:hAnsi="Aptos"/>
                <w:b/>
                <w:color w:val="10283D"/>
                <w:sz w:val="15"/>
              </w:rPr>
              <w:t>CrewAI / AutoGen</w:t>
            </w:r>
          </w:p>
        </w:tc>
        <w:tc>
          <w:tcPr>
            <w:tcW w:type="dxa" w:w="6336"/>
            <w:vAlign w:val="center"/>
            <w:shd w:fill="F6F9FA"/>
          </w:tcPr>
          <w:p>
            <w:pPr>
              <w:spacing w:after="20" w:before="20"/>
            </w:pPr>
            <w:r/>
            <w:r>
              <w:rPr>
                <w:rFonts w:ascii="Aptos" w:hAnsi="Aptos"/>
                <w:b w:val="0"/>
                <w:color w:val="243746"/>
                <w:sz w:val="15"/>
              </w:rPr>
              <w:t>Frameworks for designing collaborative multi-agent systems.</w:t>
            </w:r>
          </w:p>
        </w:tc>
      </w:tr>
      <w:tr>
        <w:tc>
          <w:tcPr>
            <w:tcW w:type="dxa" w:w="2880"/>
            <w:vAlign w:val="center"/>
            <w:shd w:fill="EAF4F6"/>
          </w:tcPr>
          <w:p>
            <w:pPr>
              <w:spacing w:after="20" w:before="20"/>
            </w:pPr>
            <w:r/>
            <w:r>
              <w:rPr>
                <w:rFonts w:ascii="Aptos" w:hAnsi="Aptos"/>
                <w:b/>
                <w:color w:val="10283D"/>
                <w:sz w:val="15"/>
              </w:rPr>
              <w:t>MCP</w:t>
            </w:r>
          </w:p>
        </w:tc>
        <w:tc>
          <w:tcPr>
            <w:tcW w:type="dxa" w:w="6336"/>
            <w:vAlign w:val="center"/>
            <w:shd w:fill="EAF4F6"/>
          </w:tcPr>
          <w:p>
            <w:pPr>
              <w:spacing w:after="20" w:before="20"/>
            </w:pPr>
            <w:r/>
            <w:r>
              <w:rPr>
                <w:rFonts w:ascii="Aptos" w:hAnsi="Aptos"/>
                <w:b w:val="0"/>
                <w:color w:val="243746"/>
                <w:sz w:val="15"/>
              </w:rPr>
              <w:t>Protocol for connecting AI applications to external tools, resources and context.</w:t>
            </w:r>
          </w:p>
        </w:tc>
      </w:tr>
      <w:tr>
        <w:tc>
          <w:tcPr>
            <w:tcW w:type="dxa" w:w="2880"/>
            <w:vAlign w:val="center"/>
            <w:shd w:fill="F6F9FA"/>
          </w:tcPr>
          <w:p>
            <w:pPr>
              <w:spacing w:after="20" w:before="20"/>
            </w:pPr>
            <w:r/>
            <w:r>
              <w:rPr>
                <w:rFonts w:ascii="Aptos" w:hAnsi="Aptos"/>
                <w:b/>
                <w:color w:val="10283D"/>
                <w:sz w:val="15"/>
              </w:rPr>
              <w:t>FAISS / vector stores</w:t>
            </w:r>
          </w:p>
        </w:tc>
        <w:tc>
          <w:tcPr>
            <w:tcW w:type="dxa" w:w="6336"/>
            <w:vAlign w:val="center"/>
            <w:shd w:fill="F6F9FA"/>
          </w:tcPr>
          <w:p>
            <w:pPr>
              <w:spacing w:after="20" w:before="20"/>
            </w:pPr>
            <w:r/>
            <w:r>
              <w:rPr>
                <w:rFonts w:ascii="Aptos" w:hAnsi="Aptos"/>
                <w:b w:val="0"/>
                <w:color w:val="243746"/>
                <w:sz w:val="15"/>
              </w:rPr>
              <w:t>Similarity search and retrieval infrastructure for embedding-based applications.</w:t>
            </w:r>
          </w:p>
        </w:tc>
      </w:tr>
      <w:tr>
        <w:tc>
          <w:tcPr>
            <w:tcW w:type="dxa" w:w="2880"/>
            <w:vAlign w:val="center"/>
            <w:shd w:fill="EAF4F6"/>
          </w:tcPr>
          <w:p>
            <w:pPr>
              <w:spacing w:after="20" w:before="20"/>
            </w:pPr>
            <w:r/>
            <w:r>
              <w:rPr>
                <w:rFonts w:ascii="Aptos" w:hAnsi="Aptos"/>
                <w:b/>
                <w:color w:val="10283D"/>
                <w:sz w:val="15"/>
              </w:rPr>
              <w:t>Python / Jupyter / VS Code / Git</w:t>
            </w:r>
          </w:p>
        </w:tc>
        <w:tc>
          <w:tcPr>
            <w:tcW w:type="dxa" w:w="6336"/>
            <w:vAlign w:val="center"/>
            <w:shd w:fill="EAF4F6"/>
          </w:tcPr>
          <w:p>
            <w:pPr>
              <w:spacing w:after="20" w:before="20"/>
            </w:pPr>
            <w:r/>
            <w:r>
              <w:rPr>
                <w:rFonts w:ascii="Aptos" w:hAnsi="Aptos"/>
                <w:b w:val="0"/>
                <w:color w:val="243746"/>
                <w:sz w:val="15"/>
              </w:rPr>
              <w:t>Core developer toolkit for building, testing and managing AI projects.</w:t>
            </w:r>
          </w:p>
        </w:tc>
      </w:tr>
    </w:tbl>
    <w:p>
      <w:pPr>
        <w:spacing w:after="20"/>
      </w:pPr>
    </w:p>
    <w:p>
      <w:pPr>
        <w:pStyle w:val="Heading1"/>
      </w:pPr>
      <w:r>
        <w:t>7. Portfolio and capstone project pathway</w:t>
      </w:r>
    </w:p>
    <w:tbl>
      <w:tblPr>
        <w:tblW w:type="auto" w:w="0"/>
        <w:jc w:val="center"/>
        <w:tblLayout w:type="fixed"/>
        <w:tblLook w:firstColumn="1" w:firstRow="1" w:lastColumn="0" w:lastRow="0" w:noHBand="0" w:noVBand="1" w:val="04A0"/>
      </w:tblPr>
      <w:tblGrid>
        <w:gridCol w:w="3427"/>
        <w:gridCol w:w="3427"/>
        <w:gridCol w:w="3427"/>
      </w:tblGrid>
      <w:tr>
        <w:tc>
          <w:tcPr>
            <w:tcW w:type="dxa" w:w="1656"/>
            <w:vAlign w:val="center"/>
            <w:shd w:fill="10283D"/>
          </w:tcPr>
          <w:p>
            <w:pPr>
              <w:spacing w:after="20" w:before="20"/>
            </w:pPr>
            <w:r/>
            <w:r>
              <w:rPr>
                <w:rFonts w:ascii="Aptos" w:hAnsi="Aptos"/>
                <w:b/>
                <w:color w:val="FFFFFF"/>
                <w:sz w:val="16"/>
              </w:rPr>
              <w:t>Level</w:t>
            </w:r>
          </w:p>
        </w:tc>
        <w:tc>
          <w:tcPr>
            <w:tcW w:type="dxa" w:w="3528"/>
            <w:vAlign w:val="center"/>
            <w:shd w:fill="10283D"/>
          </w:tcPr>
          <w:p>
            <w:pPr>
              <w:spacing w:after="20" w:before="20"/>
            </w:pPr>
            <w:r/>
            <w:r>
              <w:rPr>
                <w:rFonts w:ascii="Aptos" w:hAnsi="Aptos"/>
                <w:b/>
                <w:color w:val="FFFFFF"/>
                <w:sz w:val="16"/>
              </w:rPr>
              <w:t>Suggested project</w:t>
            </w:r>
          </w:p>
        </w:tc>
        <w:tc>
          <w:tcPr>
            <w:tcW w:type="dxa" w:w="4032"/>
            <w:vAlign w:val="center"/>
            <w:shd w:fill="10283D"/>
          </w:tcPr>
          <w:p>
            <w:pPr>
              <w:spacing w:after="20" w:before="20"/>
            </w:pPr>
            <w:r/>
            <w:r>
              <w:rPr>
                <w:rFonts w:ascii="Aptos" w:hAnsi="Aptos"/>
                <w:b/>
                <w:color w:val="FFFFFF"/>
                <w:sz w:val="16"/>
              </w:rPr>
              <w:t>Demonstrated skills</w:t>
            </w:r>
          </w:p>
        </w:tc>
      </w:tr>
      <w:tr>
        <w:tc>
          <w:tcPr>
            <w:tcW w:type="dxa" w:w="1656"/>
            <w:vAlign w:val="center"/>
            <w:shd w:fill="EAF4F6"/>
          </w:tcPr>
          <w:p>
            <w:pPr>
              <w:spacing w:after="20" w:before="20"/>
            </w:pPr>
            <w:r/>
            <w:r>
              <w:rPr>
                <w:rFonts w:ascii="Aptos" w:hAnsi="Aptos"/>
                <w:b/>
                <w:color w:val="10283D"/>
                <w:sz w:val="15"/>
              </w:rPr>
              <w:t>Fundamentals</w:t>
            </w:r>
          </w:p>
        </w:tc>
        <w:tc>
          <w:tcPr>
            <w:tcW w:type="dxa" w:w="3528"/>
            <w:vAlign w:val="center"/>
            <w:shd w:fill="EAF4F6"/>
          </w:tcPr>
          <w:p>
            <w:pPr>
              <w:spacing w:after="20" w:before="20"/>
            </w:pPr>
            <w:r/>
            <w:r>
              <w:rPr>
                <w:rFonts w:ascii="Aptos" w:hAnsi="Aptos"/>
                <w:b w:val="0"/>
                <w:color w:val="243746"/>
                <w:sz w:val="15"/>
              </w:rPr>
              <w:t>AI productivity toolkit and assistant comparison</w:t>
            </w:r>
          </w:p>
        </w:tc>
        <w:tc>
          <w:tcPr>
            <w:tcW w:type="dxa" w:w="4032"/>
            <w:vAlign w:val="center"/>
            <w:shd w:fill="EAF4F6"/>
          </w:tcPr>
          <w:p>
            <w:pPr>
              <w:spacing w:after="20" w:before="20"/>
            </w:pPr>
            <w:r/>
            <w:r>
              <w:rPr>
                <w:rFonts w:ascii="Aptos" w:hAnsi="Aptos"/>
                <w:b w:val="0"/>
                <w:color w:val="243746"/>
                <w:sz w:val="15"/>
              </w:rPr>
              <w:t>Prompt design, tool selection, output review and responsible use.</w:t>
            </w:r>
          </w:p>
        </w:tc>
      </w:tr>
      <w:tr>
        <w:tc>
          <w:tcPr>
            <w:tcW w:type="dxa" w:w="1656"/>
            <w:vAlign w:val="center"/>
            <w:shd w:fill="F6F9FA"/>
          </w:tcPr>
          <w:p>
            <w:pPr>
              <w:spacing w:after="20" w:before="20"/>
            </w:pPr>
            <w:r/>
            <w:r>
              <w:rPr>
                <w:rFonts w:ascii="Aptos" w:hAnsi="Aptos"/>
                <w:b/>
                <w:color w:val="10283D"/>
                <w:sz w:val="15"/>
              </w:rPr>
              <w:t>Intermediate</w:t>
            </w:r>
          </w:p>
        </w:tc>
        <w:tc>
          <w:tcPr>
            <w:tcW w:type="dxa" w:w="3528"/>
            <w:vAlign w:val="center"/>
            <w:shd w:fill="F6F9FA"/>
          </w:tcPr>
          <w:p>
            <w:pPr>
              <w:spacing w:after="20" w:before="20"/>
            </w:pPr>
            <w:r/>
            <w:r>
              <w:rPr>
                <w:rFonts w:ascii="Aptos" w:hAnsi="Aptos"/>
                <w:b w:val="0"/>
                <w:color w:val="243746"/>
                <w:sz w:val="15"/>
              </w:rPr>
              <w:t>RAG-based document knowledge assistant</w:t>
            </w:r>
          </w:p>
        </w:tc>
        <w:tc>
          <w:tcPr>
            <w:tcW w:type="dxa" w:w="4032"/>
            <w:vAlign w:val="center"/>
            <w:shd w:fill="F6F9FA"/>
          </w:tcPr>
          <w:p>
            <w:pPr>
              <w:spacing w:after="20" w:before="20"/>
            </w:pPr>
            <w:r/>
            <w:r>
              <w:rPr>
                <w:rFonts w:ascii="Aptos" w:hAnsi="Aptos"/>
                <w:b w:val="0"/>
                <w:color w:val="243746"/>
                <w:sz w:val="15"/>
              </w:rPr>
              <w:t>Python, APIs, LangChain, embeddings, FAISS, retrieval and evaluation.</w:t>
            </w:r>
          </w:p>
        </w:tc>
      </w:tr>
      <w:tr>
        <w:tc>
          <w:tcPr>
            <w:tcW w:type="dxa" w:w="1656"/>
            <w:vAlign w:val="center"/>
            <w:shd w:fill="EAF4F6"/>
          </w:tcPr>
          <w:p>
            <w:pPr>
              <w:spacing w:after="20" w:before="20"/>
            </w:pPr>
            <w:r/>
            <w:r>
              <w:rPr>
                <w:rFonts w:ascii="Aptos" w:hAnsi="Aptos"/>
                <w:b/>
                <w:color w:val="10283D"/>
                <w:sz w:val="15"/>
              </w:rPr>
              <w:t>Advanced</w:t>
            </w:r>
          </w:p>
        </w:tc>
        <w:tc>
          <w:tcPr>
            <w:tcW w:type="dxa" w:w="3528"/>
            <w:vAlign w:val="center"/>
            <w:shd w:fill="EAF4F6"/>
          </w:tcPr>
          <w:p>
            <w:pPr>
              <w:spacing w:after="20" w:before="20"/>
            </w:pPr>
            <w:r/>
            <w:r>
              <w:rPr>
                <w:rFonts w:ascii="Aptos" w:hAnsi="Aptos"/>
                <w:b w:val="0"/>
                <w:color w:val="243746"/>
                <w:sz w:val="15"/>
              </w:rPr>
              <w:t>Agentic or multimodal workplace solution</w:t>
            </w:r>
          </w:p>
        </w:tc>
        <w:tc>
          <w:tcPr>
            <w:tcW w:type="dxa" w:w="4032"/>
            <w:vAlign w:val="center"/>
            <w:shd w:fill="EAF4F6"/>
          </w:tcPr>
          <w:p>
            <w:pPr>
              <w:spacing w:after="20" w:before="20"/>
            </w:pPr>
            <w:r/>
            <w:r>
              <w:rPr>
                <w:rFonts w:ascii="Aptos" w:hAnsi="Aptos"/>
                <w:b w:val="0"/>
                <w:color w:val="243746"/>
                <w:sz w:val="15"/>
              </w:rPr>
              <w:t>LangGraph, CrewAI/AutoGen, MCP, tool use, multimodal models, security and governance.</w:t>
            </w:r>
          </w:p>
        </w:tc>
      </w:tr>
    </w:tbl>
    <w:p>
      <w:pPr>
        <w:spacing w:after="20"/>
      </w:pPr>
    </w:p>
    <w:p>
      <w:pPr>
        <w:pStyle w:val="Heading1"/>
      </w:pPr>
      <w:r>
        <w:t>8. Assessment and learner progression</w:t>
      </w:r>
    </w:p>
    <w:tbl>
      <w:tblPr>
        <w:tblW w:type="auto" w:w="0"/>
        <w:jc w:val="center"/>
        <w:tblLayout w:type="fixed"/>
        <w:tblLook w:firstColumn="1" w:firstRow="1" w:lastColumn="0" w:lastRow="0" w:noHBand="0" w:noVBand="1" w:val="04A0"/>
      </w:tblPr>
      <w:tblGrid>
        <w:gridCol w:w="5141"/>
        <w:gridCol w:w="5141"/>
      </w:tblGrid>
      <w:tr>
        <w:tc>
          <w:tcPr>
            <w:tcW w:type="dxa" w:w="2232"/>
            <w:vAlign w:val="center"/>
            <w:shd w:fill="10283D"/>
          </w:tcPr>
          <w:p>
            <w:pPr>
              <w:spacing w:after="20" w:before="20"/>
            </w:pPr>
            <w:r/>
            <w:r>
              <w:rPr>
                <w:rFonts w:ascii="Aptos" w:hAnsi="Aptos"/>
                <w:b/>
                <w:color w:val="FFFFFF"/>
                <w:sz w:val="16"/>
              </w:rPr>
              <w:t>Checkpoint</w:t>
            </w:r>
          </w:p>
        </w:tc>
        <w:tc>
          <w:tcPr>
            <w:tcW w:type="dxa" w:w="6984"/>
            <w:vAlign w:val="center"/>
            <w:shd w:fill="10283D"/>
          </w:tcPr>
          <w:p>
            <w:pPr>
              <w:spacing w:after="20" w:before="20"/>
            </w:pPr>
            <w:r/>
            <w:r>
              <w:rPr>
                <w:rFonts w:ascii="Aptos" w:hAnsi="Aptos"/>
                <w:b/>
                <w:color w:val="FFFFFF"/>
                <w:sz w:val="16"/>
              </w:rPr>
              <w:t>Evidence of learning</w:t>
            </w:r>
          </w:p>
        </w:tc>
      </w:tr>
      <w:tr>
        <w:tc>
          <w:tcPr>
            <w:tcW w:type="dxa" w:w="2232"/>
            <w:vAlign w:val="center"/>
            <w:shd w:fill="EAF4F6"/>
          </w:tcPr>
          <w:p>
            <w:pPr>
              <w:spacing w:after="20" w:before="20"/>
            </w:pPr>
            <w:r/>
            <w:r>
              <w:rPr>
                <w:rFonts w:ascii="Aptos" w:hAnsi="Aptos"/>
                <w:b/>
                <w:color w:val="10283D"/>
                <w:sz w:val="16"/>
              </w:rPr>
              <w:t>Knowledge checks</w:t>
            </w:r>
          </w:p>
        </w:tc>
        <w:tc>
          <w:tcPr>
            <w:tcW w:type="dxa" w:w="6984"/>
            <w:vAlign w:val="center"/>
            <w:shd w:fill="EAF4F6"/>
          </w:tcPr>
          <w:p>
            <w:pPr>
              <w:spacing w:after="20" w:before="20"/>
            </w:pPr>
            <w:r/>
            <w:r>
              <w:rPr>
                <w:rFonts w:ascii="Aptos" w:hAnsi="Aptos"/>
                <w:b w:val="0"/>
                <w:color w:val="243746"/>
                <w:sz w:val="16"/>
              </w:rPr>
              <w:t>Short quizzes and concept explanations at the end of key topics.</w:t>
            </w:r>
          </w:p>
        </w:tc>
      </w:tr>
      <w:tr>
        <w:tc>
          <w:tcPr>
            <w:tcW w:type="dxa" w:w="2232"/>
            <w:vAlign w:val="center"/>
            <w:shd w:fill="F6F9FA"/>
          </w:tcPr>
          <w:p>
            <w:pPr>
              <w:spacing w:after="20" w:before="20"/>
            </w:pPr>
            <w:r/>
            <w:r>
              <w:rPr>
                <w:rFonts w:ascii="Aptos" w:hAnsi="Aptos"/>
                <w:b/>
                <w:color w:val="10283D"/>
                <w:sz w:val="16"/>
              </w:rPr>
              <w:t>Tool demonstrations</w:t>
            </w:r>
          </w:p>
        </w:tc>
        <w:tc>
          <w:tcPr>
            <w:tcW w:type="dxa" w:w="6984"/>
            <w:vAlign w:val="center"/>
            <w:shd w:fill="F6F9FA"/>
          </w:tcPr>
          <w:p>
            <w:pPr>
              <w:spacing w:after="20" w:before="20"/>
            </w:pPr>
            <w:r/>
            <w:r>
              <w:rPr>
                <w:rFonts w:ascii="Aptos" w:hAnsi="Aptos"/>
                <w:b w:val="0"/>
                <w:color w:val="243746"/>
                <w:sz w:val="16"/>
              </w:rPr>
              <w:t>Live use of ChatGPT, Gemini, Claude and other relevant tools.</w:t>
            </w:r>
          </w:p>
        </w:tc>
      </w:tr>
      <w:tr>
        <w:tc>
          <w:tcPr>
            <w:tcW w:type="dxa" w:w="2232"/>
            <w:vAlign w:val="center"/>
            <w:shd w:fill="EAF4F6"/>
          </w:tcPr>
          <w:p>
            <w:pPr>
              <w:spacing w:after="20" w:before="20"/>
            </w:pPr>
            <w:r/>
            <w:r>
              <w:rPr>
                <w:rFonts w:ascii="Aptos" w:hAnsi="Aptos"/>
                <w:b/>
                <w:color w:val="10283D"/>
                <w:sz w:val="16"/>
              </w:rPr>
              <w:t>Prompt portfolio</w:t>
            </w:r>
          </w:p>
        </w:tc>
        <w:tc>
          <w:tcPr>
            <w:tcW w:type="dxa" w:w="6984"/>
            <w:vAlign w:val="center"/>
            <w:shd w:fill="EAF4F6"/>
          </w:tcPr>
          <w:p>
            <w:pPr>
              <w:spacing w:after="20" w:before="20"/>
            </w:pPr>
            <w:r/>
            <w:r>
              <w:rPr>
                <w:rFonts w:ascii="Aptos" w:hAnsi="Aptos"/>
                <w:b w:val="0"/>
                <w:color w:val="243746"/>
                <w:sz w:val="16"/>
              </w:rPr>
              <w:t>A curated collection of prompts, test cases and improved outputs.</w:t>
            </w:r>
          </w:p>
        </w:tc>
      </w:tr>
      <w:tr>
        <w:tc>
          <w:tcPr>
            <w:tcW w:type="dxa" w:w="2232"/>
            <w:vAlign w:val="center"/>
            <w:shd w:fill="F6F9FA"/>
          </w:tcPr>
          <w:p>
            <w:pPr>
              <w:spacing w:after="20" w:before="20"/>
            </w:pPr>
            <w:r/>
            <w:r>
              <w:rPr>
                <w:rFonts w:ascii="Aptos" w:hAnsi="Aptos"/>
                <w:b/>
                <w:color w:val="10283D"/>
                <w:sz w:val="16"/>
              </w:rPr>
              <w:t>Code and build exercises</w:t>
            </w:r>
          </w:p>
        </w:tc>
        <w:tc>
          <w:tcPr>
            <w:tcW w:type="dxa" w:w="6984"/>
            <w:vAlign w:val="center"/>
            <w:shd w:fill="F6F9FA"/>
          </w:tcPr>
          <w:p>
            <w:pPr>
              <w:spacing w:after="20" w:before="20"/>
            </w:pPr>
            <w:r/>
            <w:r>
              <w:rPr>
                <w:rFonts w:ascii="Aptos" w:hAnsi="Aptos"/>
                <w:b w:val="0"/>
                <w:color w:val="243746"/>
                <w:sz w:val="16"/>
              </w:rPr>
              <w:t>Working API calls, LLM applications, RAG pipelines and agent workflows.</w:t>
            </w:r>
          </w:p>
        </w:tc>
      </w:tr>
      <w:tr>
        <w:tc>
          <w:tcPr>
            <w:tcW w:type="dxa" w:w="2232"/>
            <w:vAlign w:val="center"/>
            <w:shd w:fill="EAF4F6"/>
          </w:tcPr>
          <w:p>
            <w:pPr>
              <w:spacing w:after="20" w:before="20"/>
            </w:pPr>
            <w:r/>
            <w:r>
              <w:rPr>
                <w:rFonts w:ascii="Aptos" w:hAnsi="Aptos"/>
                <w:b/>
                <w:color w:val="10283D"/>
                <w:sz w:val="16"/>
              </w:rPr>
              <w:t>Responsible AI review</w:t>
            </w:r>
          </w:p>
        </w:tc>
        <w:tc>
          <w:tcPr>
            <w:tcW w:type="dxa" w:w="6984"/>
            <w:vAlign w:val="center"/>
            <w:shd w:fill="EAF4F6"/>
          </w:tcPr>
          <w:p>
            <w:pPr>
              <w:spacing w:after="20" w:before="20"/>
            </w:pPr>
            <w:r/>
            <w:r>
              <w:rPr>
                <w:rFonts w:ascii="Aptos" w:hAnsi="Aptos"/>
                <w:b w:val="0"/>
                <w:color w:val="243746"/>
                <w:sz w:val="16"/>
              </w:rPr>
              <w:t>Privacy, security, factuality, bias, limitations and human oversight checklist.</w:t>
            </w:r>
          </w:p>
        </w:tc>
      </w:tr>
      <w:tr>
        <w:tc>
          <w:tcPr>
            <w:tcW w:type="dxa" w:w="2232"/>
            <w:vAlign w:val="center"/>
            <w:shd w:fill="F6F9FA"/>
          </w:tcPr>
          <w:p>
            <w:pPr>
              <w:spacing w:after="20" w:before="20"/>
            </w:pPr>
            <w:r/>
            <w:r>
              <w:rPr>
                <w:rFonts w:ascii="Aptos" w:hAnsi="Aptos"/>
                <w:b/>
                <w:color w:val="10283D"/>
                <w:sz w:val="16"/>
              </w:rPr>
              <w:t>Capstone presentation</w:t>
            </w:r>
          </w:p>
        </w:tc>
        <w:tc>
          <w:tcPr>
            <w:tcW w:type="dxa" w:w="6984"/>
            <w:vAlign w:val="center"/>
            <w:shd w:fill="F6F9FA"/>
          </w:tcPr>
          <w:p>
            <w:pPr>
              <w:spacing w:after="20" w:before="20"/>
            </w:pPr>
            <w:r/>
            <w:r>
              <w:rPr>
                <w:rFonts w:ascii="Aptos" w:hAnsi="Aptos"/>
                <w:b w:val="0"/>
                <w:color w:val="243746"/>
                <w:sz w:val="16"/>
              </w:rPr>
              <w:t>Working demo, architecture explanation, evaluation results, risk review and business value.</w:t>
            </w:r>
          </w:p>
        </w:tc>
      </w:tr>
    </w:tbl>
    <w:p>
      <w:pPr>
        <w:spacing w:after="20"/>
      </w:pPr>
    </w:p>
    <w:p>
      <w:pPr>
        <w:pStyle w:val="Heading1"/>
      </w:pPr>
      <w:r>
        <w:t>9. Suggested delivery rhythm</w:t>
      </w:r>
    </w:p>
    <w:p>
      <w:r>
        <w:t>The program is structured for weekend delivery for working professionals. Each class is planned for approximately two hours. A practical rhythm is: concept explanation, instructor demonstration, guided hands-on exercise, learner practice and a short recap. The three levels total 48 classes and are intended to run over approximately 3–4 months, subject to the final calendar and holidays.</w:t>
      </w:r>
    </w:p>
    <w:tbl>
      <w:tblPr>
        <w:tblW w:type="auto" w:w="0"/>
        <w:jc w:val="center"/>
        <w:tblLayout w:type="fixed"/>
        <w:tblLook w:firstColumn="1" w:firstRow="1" w:lastColumn="0" w:lastRow="0" w:noHBand="0" w:noVBand="1" w:val="04A0"/>
      </w:tblPr>
      <w:tblGrid>
        <w:gridCol w:w="5141"/>
        <w:gridCol w:w="5141"/>
      </w:tblGrid>
      <w:tr>
        <w:tc>
          <w:tcPr>
            <w:tcW w:type="dxa" w:w="3600"/>
            <w:vAlign w:val="center"/>
            <w:shd w:fill="10283D"/>
          </w:tcPr>
          <w:p>
            <w:pPr>
              <w:spacing w:after="20" w:before="20"/>
            </w:pPr>
            <w:r/>
            <w:r>
              <w:rPr>
                <w:rFonts w:ascii="Aptos" w:hAnsi="Aptos"/>
                <w:b/>
                <w:color w:val="FFFFFF"/>
                <w:sz w:val="16"/>
              </w:rPr>
              <w:t>Session segment</w:t>
            </w:r>
          </w:p>
        </w:tc>
        <w:tc>
          <w:tcPr>
            <w:tcW w:type="dxa" w:w="5616"/>
            <w:vAlign w:val="center"/>
            <w:shd w:fill="10283D"/>
          </w:tcPr>
          <w:p>
            <w:pPr>
              <w:spacing w:after="20" w:before="20"/>
            </w:pPr>
            <w:r/>
            <w:r>
              <w:rPr>
                <w:rFonts w:ascii="Aptos" w:hAnsi="Aptos"/>
                <w:b/>
                <w:color w:val="FFFFFF"/>
                <w:sz w:val="16"/>
              </w:rPr>
              <w:t>Suggested allocation</w:t>
            </w:r>
          </w:p>
        </w:tc>
      </w:tr>
      <w:tr>
        <w:tc>
          <w:tcPr>
            <w:tcW w:type="dxa" w:w="3600"/>
            <w:vAlign w:val="center"/>
            <w:shd w:fill="EAF4F6"/>
          </w:tcPr>
          <w:p>
            <w:pPr>
              <w:spacing w:after="20" w:before="20"/>
            </w:pPr>
            <w:r/>
            <w:r>
              <w:rPr>
                <w:rFonts w:ascii="Aptos" w:hAnsi="Aptos"/>
                <w:b/>
                <w:color w:val="10283D"/>
                <w:sz w:val="16"/>
              </w:rPr>
              <w:t>Concepts and explanation</w:t>
            </w:r>
          </w:p>
        </w:tc>
        <w:tc>
          <w:tcPr>
            <w:tcW w:type="dxa" w:w="5616"/>
            <w:vAlign w:val="center"/>
            <w:shd w:fill="EAF4F6"/>
          </w:tcPr>
          <w:p>
            <w:pPr>
              <w:spacing w:after="20" w:before="20"/>
            </w:pPr>
            <w:r/>
            <w:r>
              <w:rPr>
                <w:rFonts w:ascii="Aptos" w:hAnsi="Aptos"/>
                <w:b w:val="0"/>
                <w:color w:val="243746"/>
                <w:sz w:val="16"/>
              </w:rPr>
              <w:t>25–30 minutes</w:t>
            </w:r>
          </w:p>
        </w:tc>
      </w:tr>
      <w:tr>
        <w:tc>
          <w:tcPr>
            <w:tcW w:type="dxa" w:w="3600"/>
            <w:vAlign w:val="center"/>
            <w:shd w:fill="F6F9FA"/>
          </w:tcPr>
          <w:p>
            <w:pPr>
              <w:spacing w:after="20" w:before="20"/>
            </w:pPr>
            <w:r/>
            <w:r>
              <w:rPr>
                <w:rFonts w:ascii="Aptos" w:hAnsi="Aptos"/>
                <w:b/>
                <w:color w:val="10283D"/>
                <w:sz w:val="16"/>
              </w:rPr>
              <w:t>Instructor demonstration</w:t>
            </w:r>
          </w:p>
        </w:tc>
        <w:tc>
          <w:tcPr>
            <w:tcW w:type="dxa" w:w="5616"/>
            <w:vAlign w:val="center"/>
            <w:shd w:fill="F6F9FA"/>
          </w:tcPr>
          <w:p>
            <w:pPr>
              <w:spacing w:after="20" w:before="20"/>
            </w:pPr>
            <w:r/>
            <w:r>
              <w:rPr>
                <w:rFonts w:ascii="Aptos" w:hAnsi="Aptos"/>
                <w:b w:val="0"/>
                <w:color w:val="243746"/>
                <w:sz w:val="16"/>
              </w:rPr>
              <w:t>20–25 minutes</w:t>
            </w:r>
          </w:p>
        </w:tc>
      </w:tr>
      <w:tr>
        <w:tc>
          <w:tcPr>
            <w:tcW w:type="dxa" w:w="3600"/>
            <w:vAlign w:val="center"/>
            <w:shd w:fill="EAF4F6"/>
          </w:tcPr>
          <w:p>
            <w:pPr>
              <w:spacing w:after="20" w:before="20"/>
            </w:pPr>
            <w:r/>
            <w:r>
              <w:rPr>
                <w:rFonts w:ascii="Aptos" w:hAnsi="Aptos"/>
                <w:b/>
                <w:color w:val="10283D"/>
                <w:sz w:val="16"/>
              </w:rPr>
              <w:t>Guided hands-on practice</w:t>
            </w:r>
          </w:p>
        </w:tc>
        <w:tc>
          <w:tcPr>
            <w:tcW w:type="dxa" w:w="5616"/>
            <w:vAlign w:val="center"/>
            <w:shd w:fill="EAF4F6"/>
          </w:tcPr>
          <w:p>
            <w:pPr>
              <w:spacing w:after="20" w:before="20"/>
            </w:pPr>
            <w:r/>
            <w:r>
              <w:rPr>
                <w:rFonts w:ascii="Aptos" w:hAnsi="Aptos"/>
                <w:b w:val="0"/>
                <w:color w:val="243746"/>
                <w:sz w:val="16"/>
              </w:rPr>
              <w:t>45–50 minutes</w:t>
            </w:r>
          </w:p>
        </w:tc>
      </w:tr>
      <w:tr>
        <w:tc>
          <w:tcPr>
            <w:tcW w:type="dxa" w:w="3600"/>
            <w:vAlign w:val="center"/>
            <w:shd w:fill="F6F9FA"/>
          </w:tcPr>
          <w:p>
            <w:pPr>
              <w:spacing w:after="20" w:before="20"/>
            </w:pPr>
            <w:r/>
            <w:r>
              <w:rPr>
                <w:rFonts w:ascii="Aptos" w:hAnsi="Aptos"/>
                <w:b/>
                <w:color w:val="10283D"/>
                <w:sz w:val="16"/>
              </w:rPr>
              <w:t>Discussion, review and assignment</w:t>
            </w:r>
          </w:p>
        </w:tc>
        <w:tc>
          <w:tcPr>
            <w:tcW w:type="dxa" w:w="5616"/>
            <w:vAlign w:val="center"/>
            <w:shd w:fill="F6F9FA"/>
          </w:tcPr>
          <w:p>
            <w:pPr>
              <w:spacing w:after="20" w:before="20"/>
            </w:pPr>
            <w:r/>
            <w:r>
              <w:rPr>
                <w:rFonts w:ascii="Aptos" w:hAnsi="Aptos"/>
                <w:b w:val="0"/>
                <w:color w:val="243746"/>
                <w:sz w:val="16"/>
              </w:rPr>
              <w:t>15–20 minutes</w:t>
            </w:r>
          </w:p>
        </w:tc>
      </w:tr>
    </w:tbl>
    <w:p>
      <w:pPr>
        <w:spacing w:after="20"/>
      </w:pPr>
    </w:p>
    <w:p>
      <w:pPr>
        <w:pStyle w:val="Heading1"/>
      </w:pPr>
      <w:r>
        <w:t>10. Professional recognition and completion</w:t>
      </w:r>
    </w:p>
    <w:p>
      <w:r>
        <w:t>The previously discussed program credential is TechLabsMind Certified Applied Generative AI Professional (TCGAIP). The roadmap can support this professional recognition through completion of the three learning levels, practical assignments and a capstone assessment. Final certification eligibility criteria and assessment rules should be published separately.</w:t>
      </w:r>
    </w:p>
    <w:p>
      <w:pPr>
        <w:pStyle w:val="Heading1"/>
      </w:pPr>
      <w:r>
        <w:t>11. How this roadmap incorporates the earlier curriculum</w:t>
      </w:r>
    </w:p>
    <w:p>
      <w:r>
        <w:t>This consolidated roadmap brings together the previously discussed Applied Generative AI Specialization structure: Fundamentals (12 classes), Intermediate (20 classes) and Advanced (16 classes). It includes the earlier coverage of AI literacy, ML/DL/NLP, transformers and LLMs; model architectures and prompting; embeddings, vector databases, RAG and fine-tuning; LangChain, LangGraph, agents and tools; CrewAI, AutoGen and MCP; image generation and multimodal AI; deployment, privacy, security and AI governance. The nine-course AI Literacy &amp; Prompt Engineering syllabus is represented within the Fundamentals level, with practical tool exploration and prompt-based workplace applications carried forward into the wider program.</w:t>
      </w:r>
    </w:p>
    <w:tbl>
      <w:tblPr>
        <w:tblW w:type="auto" w:w="0"/>
        <w:tblLook w:firstColumn="1" w:firstRow="1" w:lastColumn="0" w:lastRow="0" w:noHBand="0" w:noVBand="1" w:val="04A0"/>
      </w:tblPr>
      <w:tblGrid>
        <w:gridCol w:w="10282"/>
      </w:tblGrid>
      <w:tr>
        <w:tc>
          <w:tcPr>
            <w:tcW w:type="dxa" w:w="10282"/>
            <w:shd w:fill="1B405A"/>
          </w:tcPr>
          <w:p>
            <w:pPr>
              <w:spacing w:after="60"/>
            </w:pPr>
            <w:r/>
            <w:r>
              <w:rPr>
                <w:b/>
                <w:color w:val="F4AE42"/>
                <w:sz w:val="20"/>
              </w:rPr>
              <w:t>TECHLABSMIND LEARNING PROMISE</w:t>
              <w:br/>
            </w:r>
            <w:r>
              <w:rPr>
                <w:color w:val="FFFFFF"/>
                <w:sz w:val="17"/>
              </w:rPr>
              <w:t>Learn the foundations. Master the tools. Build real applications. Orchestrate intelligent workflows. Deploy and govern AI responsibly.</w:t>
            </w:r>
          </w:p>
        </w:tc>
      </w:tr>
    </w:tbl>
    <w:p>
      <w:pPr>
        <w:spacing w:after="20"/>
      </w:pPr>
    </w:p>
    <w:sectPr w:rsidR="00FC693F" w:rsidRPr="0006063C" w:rsidSect="00034616">
      <w:headerReference w:type="default" r:id="rId9"/>
      <w:footerReference w:type="default" r:id="rId10"/>
      <w:pgSz w:w="12240" w:h="15840"/>
      <w:pgMar w:top="893" w:right="979" w:bottom="893"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27583"/>
        <w:sz w:val="15"/>
      </w:rPr>
      <w:t>TechLabsMind Certified Applied Generative AI Professional (TCGAIP) • Learning Roadmap</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00AFA8"/>
        <w:sz w:val="16"/>
      </w:rPr>
      <w:t>TECHLABSMIND  |  APPLIED GENERATIVE AI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43746"/>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0283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0AFA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B405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